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kern w:val="2"/>
          <w:sz w:val="24"/>
          <w:szCs w:val="24"/>
          <w:lang w:val="en-US" w:eastAsia="zh-CN" w:bidi="ar-SA"/>
        </w:rPr>
      </w:pPr>
      <w:bookmarkStart w:id="0" w:name="_GoBack"/>
      <w:bookmarkEnd w:id="0"/>
      <w:r>
        <w:rPr>
          <w:rFonts w:hint="eastAsia" w:ascii="宋体" w:hAnsi="宋体" w:eastAsia="宋体" w:cs="宋体"/>
          <w:kern w:val="2"/>
          <w:sz w:val="24"/>
          <w:szCs w:val="24"/>
          <w:lang w:val="en-US" w:eastAsia="zh-CN" w:bidi="ar-SA"/>
        </w:rPr>
        <w:t>附件1</w:t>
      </w:r>
    </w:p>
    <w:p>
      <w:pPr>
        <w:autoSpaceDE/>
        <w:autoSpaceDN/>
        <w:spacing w:before="0" w:after="0" w:line="560" w:lineRule="exact"/>
        <w:ind w:left="0" w:right="0"/>
        <w:jc w:val="center"/>
        <w:rPr>
          <w:rFonts w:hint="eastAsia" w:ascii="新宋体" w:hAnsi="新宋体" w:eastAsia="新宋体" w:cs="新宋体"/>
          <w:b/>
          <w:bCs/>
          <w:kern w:val="2"/>
          <w:sz w:val="32"/>
          <w:szCs w:val="32"/>
          <w:lang w:val="en-US" w:bidi="ar-SA"/>
        </w:rPr>
      </w:pPr>
      <w:r>
        <w:rPr>
          <w:rFonts w:hint="eastAsia" w:ascii="新宋体" w:hAnsi="新宋体" w:eastAsia="新宋体" w:cs="新宋体"/>
          <w:b/>
          <w:bCs/>
          <w:kern w:val="2"/>
          <w:sz w:val="32"/>
          <w:szCs w:val="32"/>
          <w:lang w:val="en-US" w:bidi="ar-SA"/>
        </w:rPr>
        <w:t>中国建设工程造价管理协会</w:t>
      </w:r>
    </w:p>
    <w:p>
      <w:pPr>
        <w:autoSpaceDE/>
        <w:autoSpaceDN/>
        <w:spacing w:before="0" w:after="0" w:line="560" w:lineRule="exact"/>
        <w:ind w:left="0" w:right="0"/>
        <w:jc w:val="center"/>
        <w:rPr>
          <w:rFonts w:ascii="方正小标宋_GBK" w:eastAsia="方正小标宋_GBK"/>
          <w:sz w:val="44"/>
          <w:szCs w:val="44"/>
        </w:rPr>
      </w:pPr>
      <w:r>
        <w:rPr>
          <w:rFonts w:hint="eastAsia" w:ascii="新宋体" w:hAnsi="新宋体" w:eastAsia="新宋体" w:cs="新宋体"/>
          <w:b/>
          <w:bCs/>
          <w:kern w:val="2"/>
          <w:sz w:val="32"/>
          <w:szCs w:val="32"/>
          <w:lang w:val="en-US" w:bidi="ar-SA"/>
        </w:rPr>
        <w:t>工程造价咨询企业信用评价管理办法</w:t>
      </w:r>
    </w:p>
    <w:p>
      <w:pPr>
        <w:pStyle w:val="2"/>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第一章  总则</w:t>
      </w:r>
    </w:p>
    <w:p>
      <w:pPr>
        <w:pStyle w:val="11"/>
        <w:keepNext w:val="0"/>
        <w:keepLines w:val="0"/>
        <w:pageBreakBefore w:val="0"/>
        <w:widowControl w:val="0"/>
        <w:kinsoku/>
        <w:wordWrap/>
        <w:overflowPunct/>
        <w:topLinePunct w:val="0"/>
        <w:autoSpaceDE w:val="0"/>
        <w:autoSpaceDN w:val="0"/>
        <w:bidi w:val="0"/>
        <w:adjustRightInd/>
        <w:snapToGrid/>
        <w:spacing w:before="157" w:beforeLines="50" w:beforeAutospacing="0" w:after="0" w:afterAutospacing="0" w:line="360" w:lineRule="auto"/>
        <w:ind w:firstLine="634"/>
        <w:textAlignment w:val="auto"/>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b/>
          <w:color w:val="000000"/>
          <w:sz w:val="24"/>
          <w:szCs w:val="24"/>
        </w:rPr>
        <w:t>第一条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为贯彻落实国务院、住房和城乡建设部关于社会信用体系建设的工作部署，指导和规范工程造价咨询企业信用评价工作，推进工程造价咨询行业信用体系建设，规范工程造价咨询企业从业行为，完善行业自律，促进工程造价咨询行业健康发展，根据《国务院关于印发社会信用体系建设规划纲要（2014-2020年）的通知》（国发〔2014〕21号）、《国务院关于建立完善守信联合激励和失信联合惩戒制度加快推进社会诚信建设的指导意见》（国发〔2016〕33号）、《国务院办公厅关于加快推进社会信用体系建设构建以信用为基础的新型监管机制的指导意见》（国办发〔2019〕35号）、《关于推进行业协会商会诚信自律建设工作的意见》（民发〔2014〕225号）、《关于进一步推进工程造价管理改革的指导意见》（建标〔2014〕142号）、《工程造价咨询企业管理办法》（建设部令第149号）等法律、法规、规章和文件的规定，制定本办法。</w:t>
      </w:r>
    </w:p>
    <w:p>
      <w:pPr>
        <w:pStyle w:val="11"/>
        <w:keepNext w:val="0"/>
        <w:keepLines w:val="0"/>
        <w:pageBreakBefore w:val="0"/>
        <w:kinsoku/>
        <w:wordWrap/>
        <w:overflowPunct/>
        <w:topLinePunct w:val="0"/>
        <w:bidi w:val="0"/>
        <w:adjustRightInd/>
        <w:snapToGrid/>
        <w:spacing w:line="360" w:lineRule="auto"/>
        <w:ind w:firstLine="63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Cs w:val="0"/>
          <w:color w:val="000000"/>
          <w:sz w:val="24"/>
          <w:szCs w:val="24"/>
        </w:rPr>
        <w:t>工程</w:t>
      </w:r>
      <w:r>
        <w:rPr>
          <w:rFonts w:hint="eastAsia" w:asciiTheme="minorEastAsia" w:hAnsiTheme="minorEastAsia" w:eastAsiaTheme="minorEastAsia" w:cstheme="minorEastAsia"/>
          <w:color w:val="000000"/>
          <w:sz w:val="24"/>
          <w:szCs w:val="24"/>
        </w:rPr>
        <w:t>造价咨询企业信用是企业履约能力、履约意愿、历史信用记录等的综合反映。</w:t>
      </w:r>
    </w:p>
    <w:p>
      <w:pPr>
        <w:pStyle w:val="11"/>
        <w:keepNext w:val="0"/>
        <w:keepLines w:val="0"/>
        <w:pageBreakBefore w:val="0"/>
        <w:kinsoku/>
        <w:wordWrap/>
        <w:overflowPunct/>
        <w:topLinePunct w:val="0"/>
        <w:bidi w:val="0"/>
        <w:adjustRightInd/>
        <w:snapToGrid/>
        <w:spacing w:line="360" w:lineRule="auto"/>
        <w:ind w:firstLine="63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所称的信用评价，是指遵照相关法律、法规，按照本办法规定的程序和方法，对工程造价咨询企业的基本情况、经营管理、良好行为及不良行为等开展评价、确定信用等级及对信用信息进行记录、发布等的活动。</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本办法适用于中国建设工程造价管理协会（以下简称“中价协”） 对单位会员中自愿参加信用评价的工程造价咨询企业信用进行评价及监督管理。</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第二章  信用评价组织</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中价协负责工程造价咨询企业信用评价的组织和管理工作，具体工作由各省级工程造价行业协会及中价协各工作委员会进行实施。</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各省级工程造价行业协会及中价协各工作委员会是信用评价的初评机构，负责本地区、本行业信用评价的初评、上报及相应的监督、核查等工作。中价协负责评价结果的确认和发布。</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各省级工程造价行业协会可将信用评价的初评工作交由各地市级造价行业协会具体实施，省级工程造价行业协会及中价协各工作委员会负责信用评价工作的评审和上报。</w:t>
      </w:r>
    </w:p>
    <w:p>
      <w:pPr>
        <w:pStyle w:val="11"/>
        <w:keepNext w:val="0"/>
        <w:keepLines w:val="0"/>
        <w:pageBreakBefore w:val="0"/>
        <w:kinsoku/>
        <w:wordWrap/>
        <w:overflowPunct/>
        <w:topLinePunct w:val="0"/>
        <w:bidi w:val="0"/>
        <w:adjustRightInd/>
        <w:snapToGrid/>
        <w:spacing w:line="360" w:lineRule="auto"/>
        <w:ind w:firstLine="634"/>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color w:val="000000"/>
          <w:sz w:val="24"/>
          <w:szCs w:val="24"/>
        </w:rPr>
        <w:t xml:space="preserve">第八条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shd w:val="clear" w:color="auto" w:fill="FFFFFF"/>
        </w:rPr>
        <w:t>信用评价应设立信用评价工作组，负责工程造价咨询企业信用信息的采集、核查、评分、公示、发布、评价资料的管理等相关工作。</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第三章  信用评价的依据和原则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信用评价工作的依据：</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（一）国家有关法律、法规、规章等；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（二）行业规范性文件、规定及标准等；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（三）政府有关部门和工程造价行业管理机构及行业协会的表彰、奖励、专项检查、核查、抽查结果等；</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（四）已生效的判决书或仲裁裁决书；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（五）已生效的行政或司法机关的处罚决定书；</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（六）工程造价咨询统计报表制度；</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（七）各级工程造价咨询监管系统中的有关信息；</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（八）企业在住建部及各省、自治区、直辖市及地市主管部门和中价协各工作委员会系统中上报的相关数据；</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（九）企业在各级政府机关或部门的信用档案信息；</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（十）企业从业人员在各级政府机关或部门的信用档案信息；</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（十一）其它相关信用信息等。</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信用评价工作遵循以下原则：</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（一）独立、客观、公正、科学；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（二）政府引导、行业自律、社会监督；</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（三）社会需求和行业发展导向相结合；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（四）充分利用信息化手段，减轻企业负担；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（五）能力与信用相结合；</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（六）企业自愿。</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第四章  信用评价标准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第十一条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信用评价采用百分制对评价内容进行评分，评价内容分为基本情况及经营管理得分、良好行为加分和不良行为扣分等。其中：良好行为加分</w:t>
      </w:r>
      <w:r>
        <w:rPr>
          <w:rFonts w:hint="eastAsia" w:asciiTheme="minorEastAsia" w:hAnsiTheme="minorEastAsia" w:eastAsiaTheme="minorEastAsia" w:cstheme="minorEastAsia"/>
          <w:sz w:val="24"/>
          <w:szCs w:val="24"/>
        </w:rPr>
        <w:t>限额10分</w:t>
      </w:r>
      <w:r>
        <w:rPr>
          <w:rFonts w:hint="eastAsia" w:asciiTheme="minorEastAsia" w:hAnsiTheme="minorEastAsia" w:eastAsiaTheme="minorEastAsia" w:cstheme="minorEastAsia"/>
          <w:color w:val="000000"/>
          <w:sz w:val="24"/>
          <w:szCs w:val="24"/>
        </w:rPr>
        <w:t>，不良行为扣分不限额。</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办法所称良好行为，是指工程造价咨询企业在工程造价从业活动中遵守有关工程建设的法律、法规、规章、规范、标准及相关文件的规定，行为规范，诚信经营，自觉维护市场秩序，积极履行社会责任，受到各级人民政府、工程建设行政主管部门等相关政府部门、造价行业管理机构及造价行业协会等的表彰、奖励和表扬等的行为。</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办法所称不良行为，是指工程造价咨询企业在工程造价从业活动中违反有关工程建设的法律、法规、规章、规范、标准、执业行为规范及相关文件的规定，受到司法判决或受到各级人民政府、工程建设行政主管部门等相关政府部门、造价行业管理机构等的行政处罚、通报批评、责令整改、约谈等，或受到投诉举报被查实等的行为，或违反行业自律规定受到行业协会惩戒或通报的行为。</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 xml:space="preserve">第十二条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基本情况及经营管理得分评价项满足或超过要求的，评价时按项计分，每项得分不超过该项得分满分；基本情况及经营管理得分评价项不满足要求或违反相关规定的，评价时按项扣</w:t>
      </w:r>
      <w:r>
        <w:rPr>
          <w:rFonts w:hint="eastAsia" w:asciiTheme="minorEastAsia" w:hAnsiTheme="minorEastAsia" w:eastAsiaTheme="minorEastAsia" w:cstheme="minorEastAsia"/>
          <w:sz w:val="24"/>
          <w:szCs w:val="24"/>
        </w:rPr>
        <w:t>分，每一评价项的扣分不超过本项扣分限额；良好行为加分和不良行为扣分分别按附件3和附件4的加分和扣分标准评价。</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良好行为和不良行为的有效期一般规定为三年。各省级评价机构也可结合具体情况确定良好行为和不良行为有效期，但不良行为有效期不应低于其相关处罚期限。</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工程造价咨询企业信用等级分为AAA、AA、A、B、C三等五级。</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AAA表示信用很好，综合能力很强， AA表示信用很好，综合能力强，A表示信用好，综合能力较强、B表示信用一般， C表示信用较差。</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信用评价实行评分制，评价结果采用按分值区间确定的原则，信用等级实行动态评价、动态管理。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第十五条 </w:t>
      </w:r>
      <w:r>
        <w:rPr>
          <w:rFonts w:hint="eastAsia" w:asciiTheme="minorEastAsia" w:hAnsiTheme="minorEastAsia" w:eastAsiaTheme="minorEastAsia" w:cstheme="minorEastAsia"/>
          <w:color w:val="000000"/>
          <w:sz w:val="24"/>
          <w:szCs w:val="24"/>
        </w:rPr>
        <w:t>信用等级根据信用评价标准得分结果确定，信用等级与信用评价得分对应关系如下：</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p>
    <w:tbl>
      <w:tblPr>
        <w:tblStyle w:val="6"/>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597"/>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信用等级</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评价得分</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AAA</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default" w:ascii="Arial" w:hAnsi="Arial" w:cs="Arial" w:eastAsiaTheme="minorEastAsia"/>
                <w:color w:val="000000"/>
                <w:sz w:val="24"/>
                <w:szCs w:val="24"/>
              </w:rPr>
              <w:t>≥</w:t>
            </w:r>
            <w:r>
              <w:rPr>
                <w:rFonts w:hint="eastAsia" w:asciiTheme="minorEastAsia" w:hAnsiTheme="minorEastAsia" w:eastAsiaTheme="minorEastAsia" w:cstheme="minorEastAsia"/>
                <w:sz w:val="24"/>
                <w:szCs w:val="24"/>
              </w:rPr>
              <w:t>80</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AA</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70</w:t>
            </w:r>
            <w:r>
              <w:rPr>
                <w:rFonts w:hint="eastAsia" w:ascii="宋体" w:hAnsi="宋体" w:eastAsia="宋体" w:cs="宋体"/>
                <w:color w:val="000000"/>
                <w:sz w:val="24"/>
                <w:szCs w:val="24"/>
              </w:rPr>
              <w:t>—</w:t>
            </w:r>
            <w:r>
              <w:rPr>
                <w:rFonts w:hint="eastAsia" w:asciiTheme="minorEastAsia" w:hAnsiTheme="minorEastAsia" w:eastAsiaTheme="minorEastAsia" w:cstheme="minorEastAsia"/>
                <w:color w:val="000000"/>
                <w:sz w:val="24"/>
                <w:szCs w:val="24"/>
              </w:rPr>
              <w:t>80（不含）</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60</w:t>
            </w:r>
            <w:r>
              <w:rPr>
                <w:rFonts w:hint="eastAsia" w:ascii="宋体" w:hAnsi="宋体" w:eastAsia="宋体" w:cs="宋体"/>
                <w:color w:val="000000"/>
                <w:sz w:val="24"/>
                <w:szCs w:val="24"/>
              </w:rPr>
              <w:t>—</w:t>
            </w:r>
            <w:r>
              <w:rPr>
                <w:rFonts w:hint="eastAsia" w:asciiTheme="minorEastAsia" w:hAnsiTheme="minorEastAsia" w:eastAsiaTheme="minorEastAsia" w:cstheme="minorEastAsia"/>
                <w:color w:val="000000"/>
                <w:sz w:val="24"/>
                <w:szCs w:val="24"/>
              </w:rPr>
              <w:t>70（不含）</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w:t>
            </w:r>
            <w:r>
              <w:rPr>
                <w:rFonts w:hint="eastAsia" w:ascii="宋体" w:hAnsi="宋体" w:eastAsia="宋体" w:cs="宋体"/>
                <w:color w:val="000000"/>
                <w:sz w:val="24"/>
                <w:szCs w:val="24"/>
              </w:rPr>
              <w:t>—</w:t>
            </w:r>
            <w:r>
              <w:rPr>
                <w:rFonts w:hint="eastAsia" w:asciiTheme="minorEastAsia" w:hAnsiTheme="minorEastAsia" w:eastAsiaTheme="minorEastAsia" w:cstheme="minorEastAsia"/>
                <w:color w:val="000000"/>
                <w:sz w:val="24"/>
                <w:szCs w:val="24"/>
              </w:rPr>
              <w:t>60（不含）</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268"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w:t>
            </w:r>
          </w:p>
        </w:tc>
        <w:tc>
          <w:tcPr>
            <w:tcW w:w="25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宋体" w:hAnsi="宋体" w:eastAsia="宋体" w:cs="宋体"/>
                <w:color w:val="000000"/>
                <w:sz w:val="24"/>
                <w:szCs w:val="24"/>
              </w:rPr>
              <w:t>&lt;</w:t>
            </w:r>
            <w:r>
              <w:rPr>
                <w:rFonts w:hint="eastAsia" w:asciiTheme="minorEastAsia" w:hAnsiTheme="minorEastAsia" w:eastAsiaTheme="minorEastAsia" w:cstheme="minorEastAsia"/>
                <w:color w:val="000000"/>
                <w:sz w:val="24"/>
                <w:szCs w:val="24"/>
              </w:rPr>
              <w:t xml:space="preserve">50 </w:t>
            </w:r>
          </w:p>
        </w:tc>
        <w:tc>
          <w:tcPr>
            <w:tcW w:w="1797" w:type="dxa"/>
            <w:noWrap w:val="0"/>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p>
        </w:tc>
      </w:tr>
    </w:tbl>
    <w:p>
      <w:pPr>
        <w:pStyle w:val="2"/>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第五章  信用评价要求</w:t>
      </w:r>
    </w:p>
    <w:p>
      <w:pPr>
        <w:keepNext w:val="0"/>
        <w:keepLines w:val="0"/>
        <w:pageBreakBefore w:val="0"/>
        <w:widowControl w:val="0"/>
        <w:kinsoku/>
        <w:wordWrap/>
        <w:overflowPunct/>
        <w:topLinePunct w:val="0"/>
        <w:autoSpaceDE w:val="0"/>
        <w:autoSpaceDN w:val="0"/>
        <w:bidi w:val="0"/>
        <w:adjustRightInd/>
        <w:snapToGrid/>
        <w:spacing w:before="157" w:beforeLines="50" w:beforeAutospacing="0" w:after="0" w:afterAutospacing="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参评企业应为中价协单位会员，且取得营业执照1年（含）以上。</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参评企业应在中价协统一的工程造价咨询企业信用评价系统上提出申请并建立档案。</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信用评价工作实行动态评价，新申请评价的工程造价咨询企业应根据中价协相关工作通知要求的时间上报申请，已取得信用等级的工程造价咨询企业可随时更新相关信息。</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工程造价咨询企业申请信用评价，必须包含其所有的分支机构，分支机构的良好行为和不良行为纳入其所属法人企业评价。</w:t>
      </w:r>
    </w:p>
    <w:p>
      <w:pPr>
        <w:keepNext w:val="0"/>
        <w:keepLines w:val="0"/>
        <w:pageBreakBefore w:val="0"/>
        <w:kinsoku/>
        <w:wordWrap/>
        <w:overflowPunct/>
        <w:topLinePunct w:val="0"/>
        <w:bidi w:val="0"/>
        <w:adjustRightInd/>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省、市信用评价机构如派员到参评企业现场核实，应成立工作小组。</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第六章  信用评价内容</w:t>
      </w:r>
    </w:p>
    <w:p>
      <w:pPr>
        <w:pStyle w:val="3"/>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634"/>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第二十一条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信用评价的内容主要包括：</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（一）基本情况：人员结构、各类组织等；</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（二）经营管理：经营能力、管理能力、教育培训、信息化、文化建设与社会责任等；</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（三）各地自主评分或自定义评价项：社会评价、成果质量等；</w:t>
      </w:r>
    </w:p>
    <w:p>
      <w:pPr>
        <w:pStyle w:val="3"/>
        <w:keepNext w:val="0"/>
        <w:keepLines w:val="0"/>
        <w:pageBreakBefore w:val="0"/>
        <w:kinsoku/>
        <w:wordWrap/>
        <w:overflowPunct/>
        <w:topLinePunct w:val="0"/>
        <w:bidi w:val="0"/>
        <w:adjustRightInd/>
        <w:snapToGrid/>
        <w:spacing w:line="360" w:lineRule="auto"/>
        <w:ind w:firstLine="63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（四）良好行为和不良行为：良好行为加分、不良行为扣分。</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第七章  信用评价程序</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b/>
          <w:color w:val="000000"/>
          <w:sz w:val="24"/>
          <w:szCs w:val="24"/>
        </w:rPr>
        <w:t xml:space="preserve">第二十二条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shd w:val="clear" w:color="auto" w:fill="FFFFFF"/>
        </w:rPr>
        <w:t>中价协负责信用评价系统的开发、运行和维护，确保信用评价系统运行可靠、信息共享、数据安全。</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中价协根据信用评价工作的布置和要求，将其信用评价系统对各省级评价机构及中价协各工作委员会和地市级评价机构开放相应的初评和评审权限。</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参评企业自愿申请信用评价。首次申请信用评价的企业应在中价协信用评价系统上注册，并在线填报有关信用评价的相关信息。</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 xml:space="preserve">第二十五条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信用评价工作开始后，评价系统自动从</w:t>
      </w:r>
      <w:r>
        <w:rPr>
          <w:rFonts w:hint="eastAsia" w:asciiTheme="minorEastAsia" w:hAnsiTheme="minorEastAsia" w:eastAsiaTheme="minorEastAsia" w:cstheme="minorEastAsia"/>
          <w:sz w:val="24"/>
          <w:szCs w:val="24"/>
        </w:rPr>
        <w:t>工程造价咨询统计报表系统、造价咨询企业和造价工程师管理系统、会员服务系统等获取相关数据并自动对相应评价指标赋分。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不能从以上系统中获取的指标或从以上系统中获取的指标不完整、不准确的，由</w:t>
      </w:r>
      <w:r>
        <w:rPr>
          <w:rFonts w:hint="eastAsia" w:asciiTheme="minorEastAsia" w:hAnsiTheme="minorEastAsia" w:eastAsiaTheme="minorEastAsia" w:cstheme="minorEastAsia"/>
          <w:color w:val="000000"/>
          <w:sz w:val="24"/>
          <w:szCs w:val="24"/>
        </w:rPr>
        <w:t>参评企业根据实际情况在系统中自行填报，并准备相应的基础资料备查。</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 xml:space="preserve">第二十六条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信用评价工作组对其认为需要到参评企业现场核实的评价内容，可派遣信用评价工作小组到现场进行核实，根据实际核实情况进行评分，企业应予配合。</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良好行为和不良行为。良好行为和不良行为可由各参评企业、各级信用评价机构录入，并在信用评价系统上及时更新。各级信用评价机构按信用评价标准的规定，对工程造价咨询企业信用评价得分进行加分和扣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良好行为和不良行为具体内容详见本办法附件3和附件4。</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初评结束后，初评机构在系统中确认，系统自动将初评结果上传上级评价机构。</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第二十九条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省级信用评价机构对初评结果进行复核、评审，并将评审结果上传中价协。</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第三十条 </w:t>
      </w:r>
      <w:r>
        <w:rPr>
          <w:rFonts w:hint="eastAsia" w:asciiTheme="minorEastAsia" w:hAnsiTheme="minorEastAsia" w:eastAsiaTheme="minorEastAsia" w:cstheme="minorEastAsia"/>
          <w:color w:val="000000"/>
          <w:sz w:val="24"/>
          <w:szCs w:val="24"/>
        </w:rPr>
        <w:t>中价协收到省级信用评价机构的评价结果，经确认无误后形成最终评价结果。</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第三十一条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中价协公示评价结果。中价协将最终评价结果在中价协网站进行公示，公示期10个工作日。</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公示期内接受投诉、举报及异议申请，并按规定的流程进行处理。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对评价结果有异议的企业可向评审机构申请复核，评审机构收到复核申请后组织复核，应将复核意见告知申请复核的企业并报中价协。</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中价协公布评价结果。中价协对经公示无异议的企业信用等级向社会发布。</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第八章  信用等级管理</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工程造价咨询企业信用等级实行动态评价，动态管理，每评定周期末中价协向社会发布的信用等级记入历史信用记录。</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省级地方协会和中价协各工作委员会应结合行业自律、质量检查等制度加强监督检查，强化对工程造价咨询企业的动态管理，及时查处不良行为，进行行业惩戒，并在中价协信用信息平台予以公布，信用评价机构根据各级信用平台公布的结果，定期调整信用评价分值及相应信用等级。</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已取得信用等级的工程造价咨询企业如发生名称变更、分立或合并等重大变更的，应及时更新信用评价系统内信息。</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取得信用等级的工程造价咨询企业，发生严重不良行为的，中价协应给予降低信用等级处分。本条所指严重不良行为包括：</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（一）企业法定代表人、技术负责人因本企业职务行为受到刑事处罚或严重的行政处罚；</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（二）企业或企业的法定代表人、技术负责人受到行业协会 公开谴责惩戒；</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（三）企业出借、借用资质等级证书进行投标或承接造价咨询业务；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（四）企业提供虚假评价材料或拒绝接受造价行业管理机构监督检查，情节严重，经查属实；</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（五）有法律、法规、规章及行业规定的其他严重违法、违规行为。</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第三十八条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被降低信用等级的企业由中价协在信用评价系统中进行及时调整，各级造价行业协会在杂志（包括自办刊物）、报纸、网站等新闻媒介予以公布。</w:t>
      </w:r>
    </w:p>
    <w:p>
      <w:pPr>
        <w:pStyle w:val="2"/>
        <w:keepNext w:val="0"/>
        <w:keepLines w:val="0"/>
        <w:pageBreakBefore w:val="0"/>
        <w:widowControl/>
        <w:kinsoku/>
        <w:wordWrap/>
        <w:overflowPunct/>
        <w:topLinePunct w:val="0"/>
        <w:autoSpaceDE/>
        <w:autoSpaceDN/>
        <w:bidi w:val="0"/>
        <w:adjustRightInd/>
        <w:snapToGrid/>
        <w:spacing w:before="157" w:beforeLines="50" w:beforeAutospacing="0" w:after="0" w:afterAutospacing="0"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第九章  信用等级应用</w:t>
      </w:r>
    </w:p>
    <w:p>
      <w:pPr>
        <w:keepNext w:val="0"/>
        <w:keepLines w:val="0"/>
        <w:pageBreakBefore w:val="0"/>
        <w:widowControl w:val="0"/>
        <w:kinsoku/>
        <w:wordWrap/>
        <w:overflowPunct/>
        <w:topLinePunct w:val="0"/>
        <w:autoSpaceDE w:val="0"/>
        <w:autoSpaceDN w:val="0"/>
        <w:bidi w:val="0"/>
        <w:adjustRightInd/>
        <w:snapToGrid/>
        <w:spacing w:before="157" w:beforeLines="50" w:beforeAutospacing="0" w:after="0" w:afterAutospacing="0"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第三十九条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中价协信用评价系统向社会公开，提供实时查询，接受社会监督。</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各级造价行业协会应通过杂志（包括自办刊物）、报纸、网站等新闻媒介将其评价的工程造价咨询企业的信用等级对社会宣传。</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第四十一条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被评价企业动态信用分值、信用等级及特色专业能力、各项信用记录可在信用评价系统实时查看，往期信用等级及能力也可在系统上公开查询。</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第四十二条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信用评价结果的运用：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（一）根据需要上报政府信用管理相关部门；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（二）与政府其它职能部门及银行、保险机构等共享；</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（三）企业对社会公众进行宣传；</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（四）鼓励社会主体在委托工程造价咨询业务时使用本评价结果作为重要评价指标之一；</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由于信用等级是动态的，社会主体在使用信用等级作为招标或直接选取造价咨询企业指标的，应明确信用等级的时点；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（五）公布参评企业的造价咨询项目专业特色，供社会主体选择造价咨询中介机构时参考；</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（六）各级评价机构对其评价的信用等级高、能力范围广的企业，给予以下激励措施：</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1.在杂志（包括自办刊物）、报纸、网站等新闻媒介刊登宣传；</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2.给予更多机会参与造价行业管理机构或协会组织的调研、学术研究等活动；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3.减少监督检查的频次；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4.向需求单位推荐。</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第十章  监督和管理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第四十三条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申请信用评价的工程造价咨询企业，对申报内容的真实性、合法性、有效性负责，对因提供虚假材料引发的一切后果承担相应责任。</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shd w:val="pct10" w:color="auto" w:fill="FFFFFF"/>
        </w:rPr>
      </w:pPr>
      <w:r>
        <w:rPr>
          <w:rFonts w:hint="eastAsia" w:asciiTheme="minorEastAsia" w:hAnsiTheme="minorEastAsia" w:eastAsiaTheme="minorEastAsia" w:cstheme="minorEastAsia"/>
          <w:b/>
          <w:color w:val="000000"/>
          <w:sz w:val="24"/>
          <w:szCs w:val="24"/>
        </w:rPr>
        <w:t xml:space="preserve">第四十四条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参评企业在中价协信用信息平台已建立的信用档案内容与申报内容有差异的，以信息平台记录的信息内容作为评价依据。出现重大差异的，查实后进行修正，并对填报企业虚报、瞒报的不良行为进行处理。</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第四十五条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对信用评价结果有异议的企业，可向省级评价机构或中价协实名书面提出申诉，并提供书面证明材料。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第四十六条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信用评价结果接受社会监督。</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第四十七条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各级评价机构对其信用评价工作的真实性和公正性承担责任，并接受上级部门和社会监督。</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第四十八条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参加信用等级评价的工作人员应认真履行职责，不得徇私舞弊。</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color w:val="000000"/>
          <w:sz w:val="24"/>
          <w:szCs w:val="24"/>
        </w:rPr>
        <w:t>参与评价工作的单位和个人违反本办法规定的，责令其改正；在工作中玩忽职守、弄虚作假、滥用职权、徇私舞弊的，提请相关单位进行处理；涉嫌犯罪的，提请司法机关依法追究其刑事责任。</w:t>
      </w:r>
    </w:p>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left="0" w:right="0"/>
        <w:jc w:val="center"/>
        <w:textAlignment w:val="auto"/>
        <w:outlineLvl w:val="1"/>
        <w:rPr>
          <w:rFonts w:hint="eastAsia" w:asciiTheme="minorEastAsia" w:hAnsiTheme="minorEastAsia" w:eastAsiaTheme="minorEastAsia" w:cstheme="minorEastAsia"/>
          <w:b/>
          <w:bCs/>
          <w:color w:val="000000"/>
          <w:kern w:val="0"/>
          <w:sz w:val="24"/>
          <w:szCs w:val="24"/>
          <w:lang w:val="en-US" w:bidi="ar-SA"/>
        </w:rPr>
      </w:pPr>
      <w:r>
        <w:rPr>
          <w:rFonts w:hint="eastAsia" w:asciiTheme="minorEastAsia" w:hAnsiTheme="minorEastAsia" w:eastAsiaTheme="minorEastAsia" w:cstheme="minorEastAsia"/>
          <w:b/>
          <w:bCs/>
          <w:color w:val="000000"/>
          <w:kern w:val="0"/>
          <w:sz w:val="24"/>
          <w:szCs w:val="24"/>
          <w:lang w:val="en-US" w:bidi="ar-SA"/>
        </w:rPr>
        <w:t>第十一章  附则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第四十九条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本办法由中价协组织制定，各级造价行业协会可依据本办法制定具体实施细则。</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 xml:space="preserve">第五十条 </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本办法所称“省级”，包括自治区、直辖市；所称“地市级”，包括自治州。</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第五十一条</w:t>
      </w: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本办法由中价协负责解释。</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第五十二条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sz w:val="24"/>
          <w:szCs w:val="24"/>
        </w:rPr>
        <w:t>本办法自2019年8月20日起施行，《工程造价咨询企业信用评价暂行办法》同时废止。</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工程造价咨询企业信用评价标准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工程造价咨询企业营业收入及造价咨询业务收入评分表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工程造价咨询企业良好行为加分表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表</w:t>
      </w:r>
      <w:r>
        <w:rPr>
          <w:rFonts w:hint="eastAsia" w:asciiTheme="minorEastAsia" w:hAnsiTheme="minorEastAsia" w:eastAsiaTheme="minorEastAsia" w:cstheme="minorEastAsia"/>
          <w:color w:val="000000"/>
          <w:sz w:val="24"/>
          <w:szCs w:val="24"/>
        </w:rPr>
        <w:t>4</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工程造价咨询企业不良行为扣分表</w:t>
      </w:r>
      <w:r>
        <w:rPr>
          <w:rFonts w:hint="eastAsia" w:asciiTheme="minorEastAsia" w:hAnsiTheme="minorEastAsia" w:eastAsiaTheme="minorEastAsia" w:cstheme="minorEastAsia"/>
          <w:position w:val="-6"/>
          <w:sz w:val="24"/>
          <w:szCs w:val="24"/>
        </w:rPr>
        <w:t xml:space="preserve"> </w:t>
      </w:r>
    </w:p>
    <w:p>
      <w:pPr>
        <w:spacing w:before="0" w:line="240" w:lineRule="auto"/>
        <w:rPr>
          <w:rFonts w:hint="eastAsia" w:asciiTheme="minorEastAsia" w:hAnsiTheme="minorEastAsia" w:eastAsiaTheme="minorEastAsia" w:cstheme="minorEastAsia"/>
          <w:b/>
          <w:sz w:val="24"/>
          <w:szCs w:val="24"/>
        </w:rPr>
      </w:pPr>
    </w:p>
    <w:p>
      <w:pPr>
        <w:spacing w:before="0" w:line="240" w:lineRule="auto"/>
        <w:rPr>
          <w:rFonts w:hint="eastAsia" w:asciiTheme="minorEastAsia" w:hAnsiTheme="minorEastAsia" w:eastAsiaTheme="minorEastAsia" w:cstheme="minorEastAsia"/>
          <w:b/>
          <w:sz w:val="24"/>
          <w:szCs w:val="24"/>
        </w:rPr>
      </w:pPr>
    </w:p>
    <w:p>
      <w:pPr>
        <w:spacing w:before="0" w:line="240" w:lineRule="auto"/>
        <w:rPr>
          <w:rFonts w:hint="eastAsia" w:asciiTheme="minorEastAsia" w:hAnsiTheme="minorEastAsia" w:eastAsiaTheme="minorEastAsia" w:cstheme="minorEastAsia"/>
          <w:b/>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中国建设工程造价管理协会</w:t>
      </w:r>
    </w:p>
    <w:p>
      <w:pPr>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2019年8月20日</w:t>
      </w:r>
    </w:p>
    <w:p>
      <w:pPr>
        <w:jc w:val="right"/>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widowControl/>
        <w:autoSpaceDE/>
        <w:autoSpaceDN/>
        <w:spacing w:before="100" w:beforeAutospacing="1" w:after="100" w:afterAutospacing="1" w:line="578" w:lineRule="exact"/>
        <w:ind w:left="0" w:right="0"/>
        <w:jc w:val="both"/>
        <w:outlineLvl w:val="1"/>
        <w:rPr>
          <w:rFonts w:hint="eastAsia" w:asciiTheme="minorEastAsia" w:hAnsiTheme="minorEastAsia" w:eastAsiaTheme="minorEastAsia" w:cstheme="minorEastAsia"/>
          <w:sz w:val="24"/>
          <w:szCs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附表1：                            工程造价咨询企业信用评价标准</w:t>
      </w:r>
    </w:p>
    <w:tbl>
      <w:tblPr>
        <w:tblStyle w:val="6"/>
        <w:tblW w:w="14113" w:type="dxa"/>
        <w:tblInd w:w="0" w:type="dxa"/>
        <w:shd w:val="clear" w:color="auto" w:fill="auto"/>
        <w:tblLayout w:type="fixed"/>
        <w:tblCellMar>
          <w:top w:w="0" w:type="dxa"/>
          <w:left w:w="0" w:type="dxa"/>
          <w:bottom w:w="0" w:type="dxa"/>
          <w:right w:w="0" w:type="dxa"/>
        </w:tblCellMar>
      </w:tblPr>
      <w:tblGrid>
        <w:gridCol w:w="27"/>
        <w:gridCol w:w="899"/>
        <w:gridCol w:w="106"/>
        <w:gridCol w:w="660"/>
        <w:gridCol w:w="225"/>
        <w:gridCol w:w="795"/>
        <w:gridCol w:w="2653"/>
        <w:gridCol w:w="182"/>
        <w:gridCol w:w="1080"/>
        <w:gridCol w:w="451"/>
        <w:gridCol w:w="344"/>
        <w:gridCol w:w="181"/>
        <w:gridCol w:w="299"/>
        <w:gridCol w:w="181"/>
        <w:gridCol w:w="239"/>
        <w:gridCol w:w="256"/>
        <w:gridCol w:w="194"/>
        <w:gridCol w:w="2686"/>
        <w:gridCol w:w="464"/>
        <w:gridCol w:w="376"/>
        <w:gridCol w:w="1815"/>
      </w:tblGrid>
      <w:tr>
        <w:tblPrEx>
          <w:shd w:val="clear" w:color="auto" w:fill="auto"/>
          <w:tblCellMar>
            <w:top w:w="0" w:type="dxa"/>
            <w:left w:w="0" w:type="dxa"/>
            <w:bottom w:w="0" w:type="dxa"/>
            <w:right w:w="0" w:type="dxa"/>
          </w:tblCellMar>
        </w:tblPrEx>
        <w:trPr>
          <w:gridBefore w:val="1"/>
          <w:wBefore w:w="27" w:type="dxa"/>
          <w:trHeight w:val="816" w:hRule="atLeast"/>
        </w:trPr>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计算公式</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数据来源</w:t>
            </w:r>
          </w:p>
        </w:tc>
      </w:tr>
      <w:tr>
        <w:tblPrEx>
          <w:shd w:val="clear" w:color="auto" w:fill="auto"/>
          <w:tblCellMar>
            <w:top w:w="0" w:type="dxa"/>
            <w:left w:w="0" w:type="dxa"/>
            <w:bottom w:w="0" w:type="dxa"/>
            <w:right w:w="0" w:type="dxa"/>
          </w:tblCellMar>
        </w:tblPrEx>
        <w:trPr>
          <w:gridBefore w:val="1"/>
          <w:wBefore w:w="27" w:type="dxa"/>
          <w:trHeight w:val="470" w:hRule="atLeast"/>
        </w:trPr>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1"/>
              </w:numPr>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w:t>
            </w:r>
          </w:p>
          <w:p>
            <w:pPr>
              <w:keepNext w:val="0"/>
              <w:keepLines w:val="0"/>
              <w:widowControl/>
              <w:numPr>
                <w:ilvl w:val="0"/>
                <w:numId w:val="0"/>
              </w:numPr>
              <w:suppressLineNumbers w:val="0"/>
              <w:ind w:right="0" w:rightChars="0" w:firstLine="360" w:firstLineChars="20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情况</w:t>
            </w:r>
          </w:p>
        </w:tc>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人员结构</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技术负责人</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具有一级注册造价工程师职业资格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wBefore w:w="27" w:type="dxa"/>
          <w:trHeight w:val="1544"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具有一级造价工程师以外的与造价相关的其它职业资格或工程类、经济类高级职称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造价相关的其它职业资格是指咨询师、建造师、建筑师、监理工程师、规划师、勘察设计注册师(注册结构工程师、注册土木工程师、注册电气工程师等)、注册会计师、资产评估师、房地产估价师、职业律师等相关职业资格。</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1.造价工程师管理系统。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2.造价工程师管理系统没有的由企业自行申报。</w:t>
            </w:r>
          </w:p>
        </w:tc>
      </w:tr>
      <w:tr>
        <w:tblPrEx>
          <w:shd w:val="clear" w:color="auto" w:fill="auto"/>
          <w:tblCellMar>
            <w:top w:w="0" w:type="dxa"/>
            <w:left w:w="0" w:type="dxa"/>
            <w:bottom w:w="0" w:type="dxa"/>
            <w:right w:w="0" w:type="dxa"/>
          </w:tblCellMar>
        </w:tblPrEx>
        <w:trPr>
          <w:gridBefore w:val="1"/>
          <w:wBefore w:w="27" w:type="dxa"/>
          <w:trHeight w:val="695"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sz w:val="18"/>
                <w:szCs w:val="18"/>
                <w:lang w:val="en-US" w:eastAsia="zh-CN" w:bidi="ar"/>
              </w:rPr>
              <w:t>1.1.2                    注册造价工程师</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每有1名一级注册造价工程师得1分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每有1名二级注册造价工程师得0.5分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Style w:val="13"/>
                <w:sz w:val="18"/>
                <w:szCs w:val="18"/>
                <w:lang w:val="en-US" w:eastAsia="zh-CN" w:bidi="ar"/>
              </w:rPr>
              <w:t>1*X</w:t>
            </w:r>
            <w:r>
              <w:rPr>
                <w:rStyle w:val="14"/>
                <w:sz w:val="18"/>
                <w:szCs w:val="18"/>
                <w:lang w:val="en-US" w:eastAsia="zh-CN" w:bidi="ar"/>
              </w:rPr>
              <w:t>1</w:t>
            </w:r>
            <w:r>
              <w:rPr>
                <w:rStyle w:val="13"/>
                <w:sz w:val="18"/>
                <w:szCs w:val="18"/>
                <w:lang w:val="en-US" w:eastAsia="zh-CN" w:bidi="ar"/>
              </w:rPr>
              <w:t>+0.5*X</w:t>
            </w:r>
            <w:r>
              <w:rPr>
                <w:rStyle w:val="14"/>
                <w:sz w:val="18"/>
                <w:szCs w:val="18"/>
                <w:lang w:val="en-US" w:eastAsia="zh-CN" w:bidi="ar"/>
              </w:rPr>
              <w:t>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15</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sz w:val="18"/>
                <w:szCs w:val="18"/>
                <w:lang w:val="en-US" w:eastAsia="zh-CN" w:bidi="ar"/>
              </w:rPr>
              <w:t>“X</w:t>
            </w:r>
            <w:r>
              <w:rPr>
                <w:rStyle w:val="15"/>
                <w:sz w:val="18"/>
                <w:szCs w:val="18"/>
                <w:lang w:val="en-US" w:eastAsia="zh-CN" w:bidi="ar"/>
              </w:rPr>
              <w:t>1</w:t>
            </w:r>
            <w:r>
              <w:rPr>
                <w:rStyle w:val="12"/>
                <w:sz w:val="18"/>
                <w:szCs w:val="18"/>
                <w:lang w:val="en-US" w:eastAsia="zh-CN" w:bidi="ar"/>
              </w:rPr>
              <w:t>”指注册在该企业的一级注册造价工程师的人数,“X</w:t>
            </w:r>
            <w:r>
              <w:rPr>
                <w:rStyle w:val="15"/>
                <w:sz w:val="18"/>
                <w:szCs w:val="18"/>
                <w:lang w:val="en-US" w:eastAsia="zh-CN" w:bidi="ar"/>
              </w:rPr>
              <w:t>2</w:t>
            </w:r>
            <w:r>
              <w:rPr>
                <w:rStyle w:val="12"/>
                <w:sz w:val="18"/>
                <w:szCs w:val="18"/>
                <w:lang w:val="en-US" w:eastAsia="zh-CN" w:bidi="ar"/>
              </w:rPr>
              <w:t>”指注册在该企业的二级注册造价工程师的人数。</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造价工程师管理系统中自动获取。</w:t>
            </w:r>
          </w:p>
        </w:tc>
      </w:tr>
      <w:tr>
        <w:tblPrEx>
          <w:shd w:val="clear" w:color="auto" w:fill="auto"/>
          <w:tblCellMar>
            <w:top w:w="0" w:type="dxa"/>
            <w:left w:w="0" w:type="dxa"/>
            <w:bottom w:w="0" w:type="dxa"/>
            <w:right w:w="0" w:type="dxa"/>
          </w:tblCellMar>
        </w:tblPrEx>
        <w:trPr>
          <w:gridBefore w:val="1"/>
          <w:wBefore w:w="27" w:type="dxa"/>
          <w:trHeight w:val="118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职称结构 </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2"/>
                <w:sz w:val="18"/>
                <w:szCs w:val="18"/>
                <w:lang w:val="en-US" w:eastAsia="zh-CN" w:bidi="ar"/>
              </w:rPr>
              <w:t>每有1名高级（及以上）职称人员得0.4分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0.4*X</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“X”为高级（及以上）职称的人员数量。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高级职称指高级工程师、高级经济师、高级会计师等与造价相关的职称。</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从造价工程师管理系统、会员服务系统中自动导入，如导入数据与实际不符，由企业自行申报。</w:t>
            </w:r>
          </w:p>
        </w:tc>
      </w:tr>
      <w:tr>
        <w:tblPrEx>
          <w:shd w:val="clear" w:color="auto" w:fill="auto"/>
          <w:tblCellMar>
            <w:top w:w="0" w:type="dxa"/>
            <w:left w:w="0" w:type="dxa"/>
            <w:bottom w:w="0" w:type="dxa"/>
            <w:right w:w="0" w:type="dxa"/>
          </w:tblCellMar>
        </w:tblPrEx>
        <w:trPr>
          <w:gridBefore w:val="1"/>
          <w:wBefore w:w="27" w:type="dxa"/>
          <w:trHeight w:val="71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各类组织</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党组织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党组织健全或党建活动正常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3</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未建立党组织的，上一年度正常开展或参加党建活动的也可得分。</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wBefore w:w="27" w:type="dxa"/>
          <w:trHeight w:val="740"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其它组织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有工会或妇联等组织，活动正常</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未建立工会或妇联等组织的，上一年度正常开展相关活动的也可得分。</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gridBefore w:val="1"/>
          <w:wBefore w:w="27" w:type="dxa"/>
          <w:trHeight w:val="702" w:hRule="atLeast"/>
        </w:trPr>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个人会员</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企业有省级以上造价协会个人会员的，每1名得0.2分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0.2*X</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“X”为省级以上造价协会个人会员数量。</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从会员服务系统中自动导入或企业自行填报，省级以上协会确认。</w:t>
            </w:r>
          </w:p>
        </w:tc>
      </w:tr>
      <w:tr>
        <w:tblPrEx>
          <w:shd w:val="clear" w:color="auto" w:fill="auto"/>
          <w:tblCellMar>
            <w:top w:w="0" w:type="dxa"/>
            <w:left w:w="0" w:type="dxa"/>
            <w:bottom w:w="0" w:type="dxa"/>
            <w:right w:w="0" w:type="dxa"/>
          </w:tblCellMar>
        </w:tblPrEx>
        <w:trPr>
          <w:gridBefore w:val="1"/>
          <w:wBefore w:w="27" w:type="dxa"/>
          <w:trHeight w:val="702" w:hRule="atLeast"/>
        </w:trPr>
        <w:tc>
          <w:tcPr>
            <w:tcW w:w="8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评价标准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计算公式</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得分限额</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说明</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数据来源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wBefore w:w="27" w:type="dxa"/>
          <w:trHeight w:val="768" w:hRule="atLeast"/>
        </w:trPr>
        <w:tc>
          <w:tcPr>
            <w:tcW w:w="899"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2.经营    管理</w:t>
            </w:r>
          </w:p>
        </w:tc>
        <w:tc>
          <w:tcPr>
            <w:tcW w:w="766"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                     经营能力</w:t>
            </w:r>
          </w:p>
        </w:tc>
        <w:tc>
          <w:tcPr>
            <w:tcW w:w="10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2.1.1                       营业收入</w:t>
            </w:r>
          </w:p>
        </w:tc>
        <w:tc>
          <w:tcPr>
            <w:tcW w:w="2835"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按地区排名评分，详见附件2《工程造价咨询企业营业收入及造价咨询业务收入评分表》</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微软雅黑" w:hAnsi="微软雅黑" w:eastAsia="微软雅黑" w:cs="微软雅黑"/>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1、营业收入=工程造价咨询业务收入+其它业务收入；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2、其它业务收入=招标代理业务收入+项目管理业务收入+工程咨询业务收入；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3、均采用上年度的年收入。</w:t>
            </w:r>
          </w:p>
        </w:tc>
        <w:tc>
          <w:tcPr>
            <w:tcW w:w="2191"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根据国家“工程造价咨询统计报表制度”由信用评价系统从“工程造价咨询统计报表系统”导入企业上年度相关数据。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wBefore w:w="27" w:type="dxa"/>
          <w:trHeight w:val="1102"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2.1.2</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工程造价咨询业务收入</w:t>
            </w:r>
          </w:p>
        </w:tc>
        <w:tc>
          <w:tcPr>
            <w:tcW w:w="2835" w:type="dxa"/>
            <w:gridSpan w:val="2"/>
            <w:vMerge w:val="continue"/>
            <w:tcBorders>
              <w:tl2br w:val="nil"/>
              <w:tr2bl w:val="nil"/>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微软雅黑" w:hAnsi="微软雅黑" w:eastAsia="微软雅黑" w:cs="微软雅黑"/>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vMerge w:val="continue"/>
            <w:tcBorders>
              <w:tl2br w:val="nil"/>
              <w:tr2bl w:val="nil"/>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c>
          <w:tcPr>
            <w:tcW w:w="2191" w:type="dxa"/>
            <w:gridSpan w:val="2"/>
            <w:vMerge w:val="continue"/>
            <w:tcBorders>
              <w:tl2br w:val="nil"/>
              <w:tr2bl w:val="nil"/>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wBefore w:w="27" w:type="dxa"/>
          <w:trHeight w:val="1080"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                     经营能力</w:t>
            </w:r>
          </w:p>
        </w:tc>
        <w:tc>
          <w:tcPr>
            <w:tcW w:w="10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2.1.3                          全员劳动生产率</w:t>
            </w: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企业全员劳动生产率每5万元得0.5分</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0.5*X/5</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1、“X”指企业全员劳动生产率；</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2、全员劳动生产率=上年营业收入合计/企业员工总人数。</w:t>
            </w:r>
          </w:p>
        </w:tc>
        <w:tc>
          <w:tcPr>
            <w:tcW w:w="2191"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根据国家“工程造价咨询统计报表制度”由信用评价系统从“工程造价咨询统计报表系统”导入企业上年度相关数据自动计算。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wBefore w:w="27" w:type="dxa"/>
          <w:trHeight w:val="1102"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                    管理能力</w:t>
            </w:r>
          </w:p>
        </w:tc>
        <w:tc>
          <w:tcPr>
            <w:tcW w:w="1020"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2.2.1                       质量管理体系</w:t>
            </w: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企业有职业标准指南或自行编制的咨询业务操作指导规程、范本(模板)或作业指导书，得0.5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3分</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根据职业标准或指南内容完整、规范、指导作用的程度，加0.5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3分，没有的扣1分。</w:t>
            </w:r>
          </w:p>
        </w:tc>
        <w:tc>
          <w:tcPr>
            <w:tcW w:w="2191" w:type="dxa"/>
            <w:gridSpan w:val="2"/>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wBefore w:w="27" w:type="dxa"/>
          <w:trHeight w:val="1391"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企业有完善的质量管理制度和可行的质量奖惩办法，得0.5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2分</w:t>
            </w:r>
            <w:r>
              <w:rPr>
                <w:rStyle w:val="16"/>
                <w:rFonts w:hint="eastAsia" w:asciiTheme="minorEastAsia" w:hAnsiTheme="minorEastAsia" w:eastAsiaTheme="minorEastAsia" w:cstheme="minorEastAsia"/>
                <w:sz w:val="18"/>
                <w:szCs w:val="18"/>
                <w:lang w:val="en-US" w:eastAsia="zh-CN" w:bidi="ar"/>
              </w:rPr>
              <w:br w:type="textWrapping"/>
            </w:r>
            <w:r>
              <w:rPr>
                <w:rStyle w:val="16"/>
                <w:rFonts w:hint="eastAsia" w:asciiTheme="minorEastAsia" w:hAnsiTheme="minorEastAsia" w:eastAsiaTheme="minorEastAsia" w:cstheme="minorEastAsia"/>
                <w:sz w:val="18"/>
                <w:szCs w:val="18"/>
                <w:lang w:val="en-US" w:eastAsia="zh-CN" w:bidi="ar"/>
              </w:rPr>
              <w:t>通过ISO质量管理体系认证，得1分</w:t>
            </w:r>
          </w:p>
        </w:tc>
        <w:tc>
          <w:tcPr>
            <w:tcW w:w="10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微软雅黑" w:hAnsi="微软雅黑" w:eastAsia="微软雅黑" w:cs="微软雅黑"/>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Style w:val="16"/>
                <w:rFonts w:hint="eastAsia" w:asciiTheme="minorEastAsia" w:hAnsiTheme="minorEastAsia" w:eastAsiaTheme="minorEastAsia" w:cstheme="minorEastAsia"/>
                <w:sz w:val="18"/>
                <w:szCs w:val="18"/>
                <w:lang w:val="en-US" w:eastAsia="zh-CN" w:bidi="ar"/>
              </w:rPr>
              <w:t>1、根据质量管理制度和奖惩办法完整、规范、操作性程度，加0.5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2分，没有或不完善或操作性不强的扣0.5</w:t>
            </w:r>
            <w:r>
              <w:rPr>
                <w:rStyle w:val="17"/>
                <w:rFonts w:hint="eastAsia" w:asciiTheme="minorEastAsia" w:hAnsiTheme="minorEastAsia" w:eastAsiaTheme="minorEastAsia" w:cstheme="minorEastAsia"/>
                <w:sz w:val="18"/>
                <w:szCs w:val="18"/>
                <w:lang w:val="en-US" w:eastAsia="zh-CN" w:bidi="ar"/>
              </w:rPr>
              <w:t>~</w:t>
            </w:r>
            <w:r>
              <w:rPr>
                <w:rStyle w:val="16"/>
                <w:rFonts w:hint="eastAsia" w:asciiTheme="minorEastAsia" w:hAnsiTheme="minorEastAsia" w:eastAsiaTheme="minorEastAsia" w:cstheme="minorEastAsia"/>
                <w:sz w:val="18"/>
                <w:szCs w:val="18"/>
                <w:lang w:val="en-US" w:eastAsia="zh-CN" w:bidi="ar"/>
              </w:rPr>
              <w:t>1分；</w:t>
            </w:r>
            <w:r>
              <w:rPr>
                <w:rStyle w:val="16"/>
                <w:rFonts w:hint="eastAsia" w:asciiTheme="minorEastAsia" w:hAnsiTheme="minorEastAsia" w:eastAsiaTheme="minorEastAsia" w:cstheme="minorEastAsia"/>
                <w:sz w:val="18"/>
                <w:szCs w:val="18"/>
                <w:lang w:val="en-US" w:eastAsia="zh-CN" w:bidi="ar"/>
              </w:rPr>
              <w:br w:type="textWrapping"/>
            </w:r>
            <w:r>
              <w:rPr>
                <w:rStyle w:val="16"/>
                <w:rFonts w:hint="eastAsia" w:asciiTheme="minorEastAsia" w:hAnsiTheme="minorEastAsia" w:eastAsiaTheme="minorEastAsia" w:cstheme="minorEastAsia"/>
                <w:sz w:val="18"/>
                <w:szCs w:val="18"/>
                <w:lang w:val="en-US" w:eastAsia="zh-CN" w:bidi="ar"/>
              </w:rPr>
              <w:t>2、质量管理认证证书应在有效期内。</w:t>
            </w:r>
          </w:p>
        </w:tc>
        <w:tc>
          <w:tcPr>
            <w:tcW w:w="2191"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wBefore w:w="27" w:type="dxa"/>
          <w:trHeight w:val="678"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2.2.2                         造价咨询业务成果文件档案管理</w:t>
            </w: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有专用档案室和专职档案管理员，每项得1分</w:t>
            </w:r>
          </w:p>
        </w:tc>
        <w:tc>
          <w:tcPr>
            <w:tcW w:w="1080" w:type="dxa"/>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专用档案室照片、专职档案员聘任合同或聘任协议。</w:t>
            </w:r>
          </w:p>
        </w:tc>
        <w:tc>
          <w:tcPr>
            <w:tcW w:w="2191" w:type="dxa"/>
            <w:gridSpan w:val="2"/>
            <w:vMerge w:val="restart"/>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gridBefore w:val="1"/>
          <w:wBefore w:w="27" w:type="dxa"/>
          <w:trHeight w:val="976" w:hRule="atLeast"/>
        </w:trPr>
        <w:tc>
          <w:tcPr>
            <w:tcW w:w="899" w:type="dxa"/>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66"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1020"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283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档案室中至少保存前五年完整的档案，得1分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无档案台账扣1分，台账不完整，扣0.5分</w:t>
            </w:r>
          </w:p>
        </w:tc>
        <w:tc>
          <w:tcPr>
            <w:tcW w:w="1080" w:type="dxa"/>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8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42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50" w:type="dxa"/>
            <w:gridSpan w:val="2"/>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3150" w:type="dxa"/>
            <w:gridSpan w:val="2"/>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咨询项目登记表、档案台账和档案三者比对。</w:t>
            </w:r>
          </w:p>
        </w:tc>
        <w:tc>
          <w:tcPr>
            <w:tcW w:w="2191" w:type="dxa"/>
            <w:gridSpan w:val="2"/>
            <w:vMerge w:val="continue"/>
            <w:tcBorders>
              <w:tl2br w:val="nil"/>
              <w:tr2bl w:val="nil"/>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630" w:hRule="atLeast"/>
        </w:trPr>
        <w:tc>
          <w:tcPr>
            <w:tcW w:w="9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计算公式</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数据来源</w:t>
            </w:r>
          </w:p>
        </w:tc>
      </w:tr>
      <w:tr>
        <w:tblPrEx>
          <w:shd w:val="clear" w:color="auto" w:fill="auto"/>
          <w:tblCellMar>
            <w:top w:w="0" w:type="dxa"/>
            <w:left w:w="0" w:type="dxa"/>
            <w:bottom w:w="0" w:type="dxa"/>
            <w:right w:w="0" w:type="dxa"/>
          </w:tblCellMar>
        </w:tblPrEx>
        <w:trPr>
          <w:trHeight w:val="1315" w:hRule="atLeast"/>
        </w:trPr>
        <w:tc>
          <w:tcPr>
            <w:tcW w:w="9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2.经营    管理</w:t>
            </w: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教育培训                       </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                            业务培训等</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企业员工参加业务培训的，每次得0.3分（不含注册造价工程师资格延续需要的继续教育）</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0.3*X</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3</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1、“X”为企业造价咨询从业人员上一年度参加工程造价相关业务培训的次数；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2、可以是外部机构组织的，也可以是企业自行组织的培训。</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7"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廉洁教育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对员工进行廉洁教育或组织参观廉政教育基地</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企业上一年度对员工进行廉洁教育或组织参观廉政教育基地</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7"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信息化</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                  对外平台</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企业自建网站或公众号</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网站及公众号应正常更新。</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67"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信息化</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                 办公自动化及企业业务管理系统</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企业投用办公自动化系统，运行正常，得1分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具有咨询业务管理系统并使用正常，得1</w:t>
            </w:r>
            <w:r>
              <w:rPr>
                <w:rStyle w:val="18"/>
                <w:sz w:val="18"/>
                <w:szCs w:val="18"/>
                <w:lang w:val="en-US" w:eastAsia="zh-CN" w:bidi="ar"/>
              </w:rPr>
              <w:t>~</w:t>
            </w:r>
            <w:r>
              <w:rPr>
                <w:rFonts w:hint="eastAsia" w:ascii="宋体" w:hAnsi="宋体" w:eastAsia="宋体" w:cs="宋体"/>
                <w:i w:val="0"/>
                <w:color w:val="000000"/>
                <w:kern w:val="0"/>
                <w:sz w:val="18"/>
                <w:szCs w:val="18"/>
                <w:u w:val="none"/>
                <w:lang w:val="en-US" w:eastAsia="zh-CN" w:bidi="ar"/>
              </w:rPr>
              <w:t>3分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0~4</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4</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1、业务系统能实现基本业务流程、成果文件系统的集成的，得1分；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2、除实现1中基本功能外，还能够协助企业进行任务分配、绩效评价等等造价咨询业务管理的，得2分；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3、能够满足客户管理、合同管理、业务流程管理、档案管理、绩效统计、成本管控等多种业务流的集成，得3分。</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51"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                 已完工程数据库</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企业已完工程数据库(指标库、材料价格库等)建立完善并投入应用，每项得1.5分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1.5*X</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3</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1、“X”指指标库或材料价格库等数据库；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2、已完项目已录入数据库系统中或有已完项目的数据统计指标。</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                     文化建设与社会责任</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文化建设</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企业积极举办或参与造价协会举办的精神文明、文化建设等活动，每次得0.2分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0.2*X</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“X”为举办或参加活动的次数。</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3"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企业纳税信用等级                       </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企业纳税信用等级为A的得2分，为B的得1分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2</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正常纳税企业，税务机关每年4月会确定上一年度纳税评价结果。</w:t>
            </w:r>
          </w:p>
        </w:tc>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trPr>
        <w:tc>
          <w:tcPr>
            <w:tcW w:w="9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评价标准</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计算公式</w:t>
            </w:r>
          </w:p>
        </w:tc>
        <w:tc>
          <w:tcPr>
            <w:tcW w:w="4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数据来源</w:t>
            </w:r>
          </w:p>
        </w:tc>
      </w:tr>
      <w:tr>
        <w:tblPrEx>
          <w:shd w:val="clear" w:color="auto" w:fill="auto"/>
          <w:tblCellMar>
            <w:top w:w="0" w:type="dxa"/>
            <w:left w:w="0" w:type="dxa"/>
            <w:bottom w:w="0" w:type="dxa"/>
            <w:right w:w="0" w:type="dxa"/>
          </w:tblCellMar>
        </w:tblPrEx>
        <w:trPr>
          <w:trHeight w:val="936" w:hRule="atLeast"/>
        </w:trPr>
        <w:tc>
          <w:tcPr>
            <w:tcW w:w="926" w:type="dxa"/>
            <w:gridSpan w:val="2"/>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3.各地自主评分或自定义评分项</w:t>
            </w:r>
          </w:p>
          <w:p>
            <w:pPr>
              <w:jc w:val="center"/>
              <w:rPr>
                <w:rFonts w:hint="eastAsia" w:ascii="宋体" w:hAnsi="宋体" w:eastAsia="宋体" w:cs="宋体"/>
                <w:i w:val="0"/>
                <w:color w:val="000000" w:themeColor="text1"/>
                <w:sz w:val="18"/>
                <w:szCs w:val="18"/>
                <w:u w:val="none"/>
                <w14:textFill>
                  <w14:solidFill>
                    <w14:schemeClr w14:val="tx1"/>
                  </w14:solidFill>
                </w14:textFill>
              </w:rPr>
            </w:pPr>
          </w:p>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社会评价</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3.1.1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客户对企业的评价</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各地根据本地管理要求，自行制定评价办法或参考相关附表（可在系统内下载）</w:t>
            </w:r>
            <w:r>
              <w:rPr>
                <w:rFonts w:hint="eastAsia" w:cs="宋体"/>
                <w:i w:val="0"/>
                <w:color w:val="000000" w:themeColor="text1"/>
                <w:kern w:val="0"/>
                <w:sz w:val="18"/>
                <w:szCs w:val="18"/>
                <w:u w:val="none"/>
                <w:lang w:val="en-US" w:eastAsia="zh-CN" w:bidi="ar"/>
                <w14:textFill>
                  <w14:solidFill>
                    <w14:schemeClr w14:val="tx1"/>
                  </w14:solidFill>
                </w14:textFill>
              </w:rPr>
              <w:t>（见附表1.3.1）</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themeColor="text1"/>
                <w:kern w:val="0"/>
                <w:sz w:val="18"/>
                <w:szCs w:val="18"/>
                <w:u w:val="none"/>
                <w:lang w:val="en-US" w:eastAsia="zh-CN" w:bidi="ar"/>
                <w14:textFill>
                  <w14:solidFill>
                    <w14:schemeClr w14:val="tx1"/>
                  </w14:solidFill>
                </w14:textFill>
              </w:rPr>
            </w:pPr>
            <w:r>
              <w:rPr>
                <w:rFonts w:hint="default" w:ascii="Arial Narrow" w:hAnsi="Arial Narrow" w:eastAsia="Arial Narrow" w:cs="Arial Narrow"/>
                <w:i w:val="0"/>
                <w:color w:val="000000" w:themeColor="text1"/>
                <w:kern w:val="0"/>
                <w:sz w:val="18"/>
                <w:szCs w:val="18"/>
                <w:u w:val="none"/>
                <w:lang w:val="en-US" w:eastAsia="zh-CN" w:bidi="ar"/>
                <w14:textFill>
                  <w14:solidFill>
                    <w14:schemeClr w14:val="tx1"/>
                  </w14:solidFill>
                </w14:textFill>
              </w:rPr>
              <w:t>20</w:t>
            </w:r>
          </w:p>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shd w:val="clear" w:color="auto" w:fill="auto"/>
                <w:lang w:eastAsia="zh-CN"/>
                <w14:textFill>
                  <w14:solidFill>
                    <w14:schemeClr w14:val="tx1"/>
                  </w14:solidFill>
                </w14:textFill>
              </w:rPr>
            </w:pPr>
            <w:r>
              <w:rPr>
                <w:rFonts w:hint="eastAsia" w:cs="宋体"/>
                <w:i w:val="0"/>
                <w:color w:val="000000" w:themeColor="text1"/>
                <w:sz w:val="18"/>
                <w:szCs w:val="18"/>
                <w:u w:val="none"/>
                <w:shd w:val="clear" w:color="auto" w:fill="auto"/>
                <w:lang w:val="en-US" w:eastAsia="zh-CN"/>
                <w14:textFill>
                  <w14:solidFill>
                    <w14:schemeClr w14:val="tx1"/>
                  </w14:solidFill>
                </w14:textFill>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由各地(省、市、自治区)根据信用评价管理办法的规定，自行制定评价标准，可参考相关附件的评价办法。</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抽取三个1000万元以上项目（尽量满足两个国有资金投资项目，两个结算审核项目）进行客户评价调查。</w:t>
            </w:r>
          </w:p>
        </w:tc>
      </w:tr>
      <w:tr>
        <w:tblPrEx>
          <w:shd w:val="clear" w:color="auto" w:fill="auto"/>
          <w:tblCellMar>
            <w:top w:w="0" w:type="dxa"/>
            <w:left w:w="0" w:type="dxa"/>
            <w:bottom w:w="0" w:type="dxa"/>
            <w:right w:w="0" w:type="dxa"/>
          </w:tblCellMar>
        </w:tblPrEx>
        <w:trPr>
          <w:trHeight w:val="951" w:hRule="atLeast"/>
        </w:trPr>
        <w:tc>
          <w:tcPr>
            <w:tcW w:w="926" w:type="dxa"/>
            <w:gridSpan w:val="2"/>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成果质量</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造价咨询业务流程管理</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各地自行制定评价办法或参考相关附表（可在系统内下载）</w:t>
            </w:r>
          </w:p>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cs="宋体"/>
                <w:i w:val="0"/>
                <w:color w:val="000000" w:themeColor="text1"/>
                <w:kern w:val="0"/>
                <w:sz w:val="18"/>
                <w:szCs w:val="18"/>
                <w:u w:val="none"/>
                <w:lang w:val="en-US" w:eastAsia="zh-CN" w:bidi="ar"/>
                <w14:textFill>
                  <w14:solidFill>
                    <w14:schemeClr w14:val="tx1"/>
                  </w14:solidFill>
                </w14:textFill>
              </w:rPr>
              <w:t>（见附表1.3.2）</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tabs>
                <w:tab w:val="left" w:pos="382"/>
              </w:tabs>
              <w:jc w:val="center"/>
              <w:rPr>
                <w:rFonts w:hint="eastAsia" w:ascii="宋体" w:hAnsi="宋体" w:eastAsia="宋体" w:cs="宋体"/>
                <w:i w:val="0"/>
                <w:color w:val="000000" w:themeColor="text1"/>
                <w:sz w:val="18"/>
                <w:szCs w:val="18"/>
                <w:u w:val="none"/>
                <w:shd w:val="clear" w:color="auto" w:fill="auto"/>
                <w:lang w:eastAsia="zh-CN"/>
                <w14:textFill>
                  <w14:solidFill>
                    <w14:schemeClr w14:val="tx1"/>
                  </w14:solidFill>
                </w14:textFill>
              </w:rPr>
            </w:pPr>
            <w:r>
              <w:rPr>
                <w:rFonts w:hint="eastAsia" w:cs="宋体"/>
                <w:i w:val="0"/>
                <w:color w:val="000000" w:themeColor="text1"/>
                <w:sz w:val="18"/>
                <w:szCs w:val="18"/>
                <w:u w:val="none"/>
                <w:shd w:val="clear" w:color="auto" w:fill="auto"/>
                <w:lang w:val="en-US" w:eastAsia="zh-CN"/>
                <w14:textFill>
                  <w14:solidFill>
                    <w14:schemeClr w14:val="tx1"/>
                  </w14:solidFill>
                </w14:textFill>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由各地(省、市、自治区)根据信用评价管理办法的规定，自行制定评价标准，可参考相关附件的评价办法，相关附件可在系统内下载。</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同上。</w:t>
            </w:r>
          </w:p>
        </w:tc>
      </w:tr>
      <w:tr>
        <w:tblPrEx>
          <w:shd w:val="clear" w:color="auto" w:fill="auto"/>
          <w:tblCellMar>
            <w:top w:w="0" w:type="dxa"/>
            <w:left w:w="0" w:type="dxa"/>
            <w:bottom w:w="0" w:type="dxa"/>
            <w:right w:w="0" w:type="dxa"/>
          </w:tblCellMar>
        </w:tblPrEx>
        <w:trPr>
          <w:trHeight w:val="516" w:hRule="atLeast"/>
        </w:trPr>
        <w:tc>
          <w:tcPr>
            <w:tcW w:w="926" w:type="dxa"/>
            <w:gridSpan w:val="2"/>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3.2.2</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造价咨询业务成果质量情况</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各地自行制定评价办法或参考相关附表（可在系统内下载）</w:t>
            </w:r>
          </w:p>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r>
              <w:rPr>
                <w:rFonts w:hint="eastAsia" w:cs="宋体"/>
                <w:i w:val="0"/>
                <w:color w:val="000000" w:themeColor="text1"/>
                <w:kern w:val="0"/>
                <w:sz w:val="18"/>
                <w:szCs w:val="18"/>
                <w:u w:val="none"/>
                <w:lang w:val="en-US" w:eastAsia="zh-CN" w:bidi="ar"/>
                <w14:textFill>
                  <w14:solidFill>
                    <w14:schemeClr w14:val="tx1"/>
                  </w14:solidFill>
                </w14:textFill>
              </w:rPr>
              <w:t>（见附表1.3.3）</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shd w:val="clear" w:color="auto" w:fill="auto"/>
                <w:lang w:eastAsia="zh-CN"/>
                <w14:textFill>
                  <w14:solidFill>
                    <w14:schemeClr w14:val="tx1"/>
                  </w14:solidFill>
                </w14:textFill>
              </w:rPr>
            </w:pPr>
            <w:r>
              <w:rPr>
                <w:rFonts w:hint="eastAsia" w:cs="宋体"/>
                <w:i w:val="0"/>
                <w:color w:val="000000" w:themeColor="text1"/>
                <w:sz w:val="18"/>
                <w:szCs w:val="18"/>
                <w:u w:val="none"/>
                <w:shd w:val="clear" w:color="auto" w:fill="auto"/>
                <w:lang w:val="en-US" w:eastAsia="zh-CN"/>
                <w14:textFill>
                  <w14:solidFill>
                    <w14:schemeClr w14:val="tx1"/>
                  </w14:solidFill>
                </w14:textFill>
              </w:rPr>
              <w:t>3</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Arial Narrow" w:hAnsi="Arial Narrow" w:eastAsia="Arial Narrow" w:cs="Arial Narrow"/>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由各地(省、市、自治区)根据信用评价管理办法的规定，自行制定评价标准，可参考相关附件的评价办法，相关附件可在系统内下载。</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同上。</w:t>
            </w:r>
          </w:p>
        </w:tc>
      </w:tr>
      <w:tr>
        <w:tblPrEx>
          <w:shd w:val="clear" w:color="auto" w:fill="auto"/>
          <w:tblCellMar>
            <w:top w:w="0" w:type="dxa"/>
            <w:left w:w="0" w:type="dxa"/>
            <w:bottom w:w="0" w:type="dxa"/>
            <w:right w:w="0" w:type="dxa"/>
          </w:tblCellMar>
        </w:tblPrEx>
        <w:trPr>
          <w:trHeight w:val="512" w:hRule="atLeast"/>
        </w:trPr>
        <w:tc>
          <w:tcPr>
            <w:tcW w:w="926"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其它</w:t>
            </w:r>
          </w:p>
        </w:tc>
        <w:tc>
          <w:tcPr>
            <w:tcW w:w="10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3.3.1</w:t>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省自定义</w:t>
            </w: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企业及时缴纳</w:t>
            </w:r>
            <w:r>
              <w:rPr>
                <w:rFonts w:hint="eastAsia" w:cs="宋体"/>
                <w:b w:val="0"/>
                <w:bCs w:val="0"/>
                <w:i w:val="0"/>
                <w:color w:val="000000" w:themeColor="text1"/>
                <w:kern w:val="0"/>
                <w:sz w:val="18"/>
                <w:szCs w:val="18"/>
                <w:u w:val="none"/>
                <w:lang w:val="en-US" w:eastAsia="zh-CN" w:bidi="ar"/>
                <w14:textFill>
                  <w14:solidFill>
                    <w14:schemeClr w14:val="tx1"/>
                  </w14:solidFill>
                </w14:textFill>
              </w:rPr>
              <w:t>各市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协会会费</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val="en-US"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省协会自律公约签约及执行情况</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8</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宋体" w:cs="Arial Narrow"/>
                <w:b w:val="0"/>
                <w:bCs w:val="0"/>
                <w:i w:val="0"/>
                <w:color w:val="000000" w:themeColor="text1"/>
                <w:sz w:val="18"/>
                <w:szCs w:val="18"/>
                <w:u w:val="none"/>
                <w:lang w:val="en-US" w:eastAsia="zh-CN"/>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年度公约执行良好单位得</w:t>
            </w:r>
            <w:r>
              <w:rPr>
                <w:rFonts w:hint="eastAsia" w:cs="宋体"/>
                <w:b w:val="0"/>
                <w:bCs w:val="0"/>
                <w:i w:val="0"/>
                <w:color w:val="000000" w:themeColor="text1"/>
                <w:kern w:val="0"/>
                <w:sz w:val="18"/>
                <w:szCs w:val="18"/>
                <w:u w:val="none"/>
                <w:lang w:val="en-US" w:eastAsia="zh-CN" w:bidi="ar"/>
                <w14:textFill>
                  <w14:solidFill>
                    <w14:schemeClr w14:val="tx1"/>
                  </w14:solidFill>
                </w14:textFill>
              </w:rPr>
              <w:t>8</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分</w:t>
            </w:r>
            <w:r>
              <w:rPr>
                <w:rFonts w:hint="eastAsia" w:cs="宋体"/>
                <w:b w:val="0"/>
                <w:bCs w:val="0"/>
                <w:i w:val="0"/>
                <w:color w:val="000000" w:themeColor="text1"/>
                <w:kern w:val="0"/>
                <w:sz w:val="18"/>
                <w:szCs w:val="18"/>
                <w:u w:val="none"/>
                <w:lang w:val="en-US" w:eastAsia="zh-CN" w:bidi="ar"/>
                <w14:textFill>
                  <w14:solidFill>
                    <w14:schemeClr w14:val="tx1"/>
                  </w14:solidFill>
                </w14:textFill>
              </w:rPr>
              <w:t>，每认定一次违约行为扣2分</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default" w:ascii="宋体" w:hAnsi="宋体" w:eastAsia="宋体" w:cs="宋体"/>
                <w:b w:val="0"/>
                <w:bCs w:val="0"/>
                <w:i w:val="0"/>
                <w:color w:val="000000" w:themeColor="text1"/>
                <w:sz w:val="18"/>
                <w:szCs w:val="18"/>
                <w:u w:val="none"/>
                <w:lang w:val="en-US"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省协会诚信自律系统数据。</w:t>
            </w:r>
          </w:p>
        </w:tc>
      </w:tr>
      <w:tr>
        <w:tblPrEx>
          <w:shd w:val="clear" w:color="auto" w:fill="auto"/>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参加省</w:t>
            </w:r>
            <w:r>
              <w:rPr>
                <w:rFonts w:hint="eastAsia" w:cs="宋体"/>
                <w:b w:val="0"/>
                <w:bCs w:val="0"/>
                <w:i w:val="0"/>
                <w:color w:val="000000" w:themeColor="text1"/>
                <w:kern w:val="0"/>
                <w:sz w:val="18"/>
                <w:szCs w:val="18"/>
                <w:u w:val="none"/>
                <w:lang w:val="en-US" w:eastAsia="zh-CN" w:bidi="ar"/>
                <w14:textFill>
                  <w14:solidFill>
                    <w14:schemeClr w14:val="tx1"/>
                  </w14:solidFill>
                </w14:textFill>
              </w:rPr>
              <w:t>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协会组织的技能竞赛、课题研究、文体活动等</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b w:val="0"/>
                <w:bCs w:val="0"/>
                <w:i w:val="0"/>
                <w:color w:val="000000" w:themeColor="text1"/>
                <w:sz w:val="18"/>
                <w:szCs w:val="18"/>
                <w:u w:val="none"/>
                <w:lang w:val="en-US"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0.5分/人次</w:t>
            </w: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在省</w:t>
            </w:r>
            <w:r>
              <w:rPr>
                <w:rFonts w:hint="eastAsia" w:cs="宋体"/>
                <w:b w:val="0"/>
                <w:bCs w:val="0"/>
                <w:i w:val="0"/>
                <w:color w:val="000000" w:themeColor="text1"/>
                <w:kern w:val="0"/>
                <w:sz w:val="18"/>
                <w:szCs w:val="18"/>
                <w:u w:val="none"/>
                <w:lang w:val="en-US" w:eastAsia="zh-CN" w:bidi="ar"/>
                <w14:textFill>
                  <w14:solidFill>
                    <w14:schemeClr w14:val="tx1"/>
                  </w14:solidFill>
                </w14:textFill>
              </w:rPr>
              <w:t>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协会会刊、网站、公众号上发表相关的论文、案例、通讯稿等</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pPr>
            <w:r>
              <w:rPr>
                <w:rFonts w:hint="eastAsia"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t>1分/人次</w:t>
            </w:r>
          </w:p>
        </w:tc>
        <w:tc>
          <w:tcPr>
            <w:tcW w:w="45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2</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12" w:hRule="atLeast"/>
        </w:trPr>
        <w:tc>
          <w:tcPr>
            <w:tcW w:w="9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14:textFill>
                  <w14:solidFill>
                    <w14:schemeClr w14:val="tx1"/>
                  </w14:solidFill>
                </w14:textFill>
              </w:rPr>
            </w:pPr>
          </w:p>
        </w:tc>
        <w:tc>
          <w:tcPr>
            <w:tcW w:w="7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pPr>
          </w:p>
        </w:tc>
        <w:tc>
          <w:tcPr>
            <w:tcW w:w="2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省</w:t>
            </w:r>
            <w:r>
              <w:rPr>
                <w:rFonts w:hint="eastAsia" w:cs="宋体"/>
                <w:b w:val="0"/>
                <w:bCs w:val="0"/>
                <w:i w:val="0"/>
                <w:color w:val="000000" w:themeColor="text1"/>
                <w:kern w:val="0"/>
                <w:sz w:val="18"/>
                <w:szCs w:val="18"/>
                <w:u w:val="none"/>
                <w:lang w:val="en-US" w:eastAsia="zh-CN" w:bidi="ar"/>
                <w14:textFill>
                  <w14:solidFill>
                    <w14:schemeClr w14:val="tx1"/>
                  </w14:solidFill>
                </w14:textFill>
              </w:rPr>
              <w:t>市</w:t>
            </w:r>
            <w: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t>协会公开表彰企业或企业从业人员</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pPr>
            <w:r>
              <w:rPr>
                <w:rFonts w:hint="eastAsia" w:ascii="Arial Narrow" w:hAnsi="Arial Narrow" w:eastAsia="Arial Narrow" w:cs="Arial Narrow"/>
                <w:b w:val="0"/>
                <w:bCs w:val="0"/>
                <w:i w:val="0"/>
                <w:color w:val="000000" w:themeColor="text1"/>
                <w:kern w:val="0"/>
                <w:sz w:val="18"/>
                <w:szCs w:val="18"/>
                <w:u w:val="none"/>
                <w:lang w:val="en-US" w:eastAsia="zh-CN" w:bidi="ar"/>
                <w14:textFill>
                  <w14:solidFill>
                    <w14:schemeClr w14:val="tx1"/>
                  </w14:solidFill>
                </w14:textFill>
              </w:rPr>
              <w:t>1分/人次</w:t>
            </w:r>
          </w:p>
        </w:tc>
        <w:tc>
          <w:tcPr>
            <w:tcW w:w="451"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eastAsia" w:ascii="宋体" w:hAnsi="宋体" w:eastAsia="宋体" w:cs="宋体"/>
                <w:b w:val="0"/>
                <w:bCs w:val="0"/>
                <w:i w:val="0"/>
                <w:color w:val="000000" w:themeColor="text1"/>
                <w:sz w:val="18"/>
                <w:szCs w:val="18"/>
                <w:u w:val="none"/>
                <w:lang w:eastAsia="zh-CN"/>
                <w14:textFill>
                  <w14:solidFill>
                    <w14:schemeClr w14:val="tx1"/>
                  </w14:solidFill>
                </w14:textFill>
              </w:rPr>
            </w:pPr>
            <w:r>
              <w:rPr>
                <w:rFonts w:hint="eastAsia" w:cs="宋体"/>
                <w:b w:val="0"/>
                <w:bCs w:val="0"/>
                <w:i w:val="0"/>
                <w:color w:val="000000" w:themeColor="text1"/>
                <w:sz w:val="18"/>
                <w:szCs w:val="18"/>
                <w:u w:val="none"/>
                <w:lang w:val="en-US" w:eastAsia="zh-CN"/>
                <w14:textFill>
                  <w14:solidFill>
                    <w14:schemeClr w14:val="tx1"/>
                  </w14:solidFill>
                </w14:textFill>
              </w:rPr>
              <w:t>1</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jc w:val="center"/>
              <w:rPr>
                <w:rFonts w:hint="default" w:ascii="Arial Narrow" w:hAnsi="Arial Narrow" w:eastAsia="Arial Narrow" w:cs="Arial Narrow"/>
                <w:b w:val="0"/>
                <w:bCs w:val="0"/>
                <w:i w:val="0"/>
                <w:color w:val="000000" w:themeColor="text1"/>
                <w:sz w:val="18"/>
                <w:szCs w:val="18"/>
                <w:u w:val="none"/>
                <w14:textFill>
                  <w14:solidFill>
                    <w14:schemeClr w14:val="tx1"/>
                  </w14:solidFill>
                </w14:textFill>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b w:val="0"/>
                <w:bCs w:val="0"/>
                <w:i w:val="0"/>
                <w:color w:val="000000" w:themeColor="text1"/>
                <w:kern w:val="0"/>
                <w:sz w:val="18"/>
                <w:szCs w:val="18"/>
                <w:u w:val="none"/>
                <w:lang w:val="en-US" w:eastAsia="zh-CN" w:bidi="ar"/>
                <w14:textFill>
                  <w14:solidFill>
                    <w14:schemeClr w14:val="tx1"/>
                  </w14:solidFill>
                </w14:textFill>
              </w:rPr>
            </w:pP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right="0" w:rightChars="0"/>
              <w:rPr>
                <w:rFonts w:hint="eastAsia" w:ascii="宋体" w:hAnsi="宋体" w:eastAsia="宋体" w:cs="宋体"/>
                <w:b w:val="0"/>
                <w:bCs w:val="0"/>
                <w:i w:val="0"/>
                <w:color w:val="000000" w:themeColor="text1"/>
                <w:sz w:val="18"/>
                <w:szCs w:val="18"/>
                <w:u w:val="none"/>
                <w14:textFill>
                  <w14:solidFill>
                    <w14:schemeClr w14:val="tx1"/>
                  </w14:solidFill>
                </w14:textFill>
              </w:rPr>
            </w:pPr>
          </w:p>
        </w:tc>
      </w:tr>
    </w:tbl>
    <w:p>
      <w:pPr>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br w:type="page"/>
      </w:r>
    </w:p>
    <w:tbl>
      <w:tblPr>
        <w:tblStyle w:val="6"/>
        <w:tblW w:w="14113" w:type="dxa"/>
        <w:tblInd w:w="0" w:type="dxa"/>
        <w:shd w:val="clear" w:color="auto" w:fill="auto"/>
        <w:tblLayout w:type="fixed"/>
        <w:tblCellMar>
          <w:top w:w="0" w:type="dxa"/>
          <w:left w:w="0" w:type="dxa"/>
          <w:bottom w:w="0" w:type="dxa"/>
          <w:right w:w="0" w:type="dxa"/>
        </w:tblCellMar>
      </w:tblPr>
      <w:tblGrid>
        <w:gridCol w:w="926"/>
        <w:gridCol w:w="766"/>
        <w:gridCol w:w="1133"/>
        <w:gridCol w:w="1740"/>
        <w:gridCol w:w="2655"/>
        <w:gridCol w:w="840"/>
        <w:gridCol w:w="615"/>
        <w:gridCol w:w="870"/>
        <w:gridCol w:w="1125"/>
        <w:gridCol w:w="2115"/>
        <w:gridCol w:w="1328"/>
      </w:tblGrid>
      <w:tr>
        <w:tblPrEx>
          <w:shd w:val="clear" w:color="auto" w:fill="auto"/>
        </w:tblPrEx>
        <w:trPr>
          <w:trHeight w:val="512" w:hRule="atLeast"/>
        </w:trPr>
        <w:tc>
          <w:tcPr>
            <w:tcW w:w="9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二级指标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三级指标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评价标准</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Narrow" w:hAnsi="Arial Narrow" w:eastAsia="Arial Narrow" w:cs="Arial Narrow"/>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计算公式</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FF0000"/>
                <w:sz w:val="18"/>
                <w:szCs w:val="18"/>
                <w:u w:val="none"/>
              </w:rPr>
            </w:pPr>
            <w:r>
              <w:rPr>
                <w:rFonts w:hint="eastAsia" w:ascii="宋体" w:hAnsi="宋体" w:eastAsia="宋体" w:cs="宋体"/>
                <w:b/>
                <w:i w:val="0"/>
                <w:color w:val="000000"/>
                <w:kern w:val="0"/>
                <w:sz w:val="18"/>
                <w:szCs w:val="18"/>
                <w:u w:val="none"/>
                <w:lang w:val="en-US" w:eastAsia="zh-CN" w:bidi="ar"/>
              </w:rPr>
              <w:t>得分限额</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sz w:val="18"/>
                <w:szCs w:val="18"/>
                <w:u w:val="none"/>
              </w:rPr>
            </w:pPr>
            <w:r>
              <w:rPr>
                <w:rFonts w:hint="eastAsia" w:ascii="宋体" w:hAnsi="宋体" w:eastAsia="宋体" w:cs="宋体"/>
                <w:b/>
                <w:i w:val="0"/>
                <w:color w:val="000000"/>
                <w:kern w:val="0"/>
                <w:sz w:val="18"/>
                <w:szCs w:val="18"/>
                <w:u w:val="none"/>
                <w:lang w:val="en-US" w:eastAsia="zh-CN" w:bidi="ar"/>
              </w:rPr>
              <w:t>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Narrow" w:hAnsi="Arial Narrow" w:eastAsia="Arial Narrow" w:cs="Arial Narrow"/>
                <w:i w:val="0"/>
                <w:color w:val="FF0000"/>
                <w:sz w:val="18"/>
                <w:szCs w:val="18"/>
                <w:u w:val="none"/>
              </w:rPr>
            </w:pPr>
            <w:r>
              <w:rPr>
                <w:rFonts w:hint="eastAsia" w:ascii="宋体" w:hAnsi="宋体" w:eastAsia="宋体" w:cs="宋体"/>
                <w:b/>
                <w:i w:val="0"/>
                <w:color w:val="000000"/>
                <w:kern w:val="0"/>
                <w:sz w:val="18"/>
                <w:szCs w:val="18"/>
                <w:u w:val="none"/>
                <w:lang w:val="en-US" w:eastAsia="zh-CN" w:bidi="ar"/>
              </w:rPr>
              <w:t>扣分限额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sz w:val="18"/>
                <w:szCs w:val="18"/>
                <w:u w:val="none"/>
              </w:rPr>
            </w:pPr>
            <w:r>
              <w:rPr>
                <w:rFonts w:hint="eastAsia" w:ascii="宋体" w:hAnsi="宋体" w:eastAsia="宋体" w:cs="宋体"/>
                <w:b/>
                <w:i w:val="0"/>
                <w:color w:val="000000"/>
                <w:kern w:val="0"/>
                <w:sz w:val="18"/>
                <w:szCs w:val="18"/>
                <w:u w:val="none"/>
                <w:lang w:val="en-US" w:eastAsia="zh-CN" w:bidi="ar"/>
              </w:rPr>
              <w:t>扣分</w:t>
            </w: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说明</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FF0000"/>
                <w:sz w:val="18"/>
                <w:szCs w:val="18"/>
                <w:u w:val="none"/>
              </w:rPr>
            </w:pPr>
            <w:r>
              <w:rPr>
                <w:rFonts w:hint="eastAsia" w:ascii="宋体" w:hAnsi="宋体" w:eastAsia="宋体" w:cs="宋体"/>
                <w:b/>
                <w:i w:val="0"/>
                <w:color w:val="000000"/>
                <w:kern w:val="0"/>
                <w:sz w:val="18"/>
                <w:szCs w:val="18"/>
                <w:u w:val="none"/>
                <w:lang w:val="en-US" w:eastAsia="zh-CN" w:bidi="ar"/>
              </w:rPr>
              <w:t xml:space="preserve"> 数据来源</w:t>
            </w:r>
          </w:p>
        </w:tc>
      </w:tr>
      <w:tr>
        <w:tblPrEx>
          <w:shd w:val="clear" w:color="auto" w:fill="auto"/>
        </w:tblPrEx>
        <w:trPr>
          <w:trHeight w:val="707"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4.良好行为和不良行为</w:t>
            </w: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良好行为加分</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良好行为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见良好行为加分表（附件3）</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最高得分限10分。</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PrEx>
        <w:trPr>
          <w:trHeight w:val="9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不良行为扣分</w:t>
            </w:r>
          </w:p>
        </w:tc>
        <w:tc>
          <w:tcPr>
            <w:tcW w:w="11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不良行为</w:t>
            </w:r>
          </w:p>
        </w:tc>
        <w:tc>
          <w:tcPr>
            <w:tcW w:w="17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见不良行为扣分表（附件4）</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default" w:ascii="Arial Narrow" w:hAnsi="Arial Narrow" w:eastAsia="Arial Narrow" w:cs="Arial Narrow"/>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Arial Narrow" w:hAnsi="Arial Narrow" w:eastAsia="Arial Narrow" w:cs="Arial Narrow"/>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最高减分不限。</w:t>
            </w: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PrEx>
        <w:trPr>
          <w:trHeight w:val="225" w:hRule="atLeast"/>
        </w:trPr>
        <w:tc>
          <w:tcPr>
            <w:tcW w:w="722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18"/>
                <w:szCs w:val="18"/>
                <w:u w:val="none"/>
              </w:rPr>
            </w:pPr>
            <w:r>
              <w:rPr>
                <w:rFonts w:hint="default" w:ascii="Arial Narrow" w:hAnsi="Arial Narrow" w:eastAsia="Arial Narrow" w:cs="Arial Narrow"/>
                <w:i w:val="0"/>
                <w:color w:val="000000"/>
                <w:kern w:val="0"/>
                <w:sz w:val="18"/>
                <w:szCs w:val="18"/>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 1、数据来源栏没有说明的，均为“企业填报相关信息，准备相关材料备查，接受社会监督”；</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525" w:leftChars="0"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得分合计100分，所有得分小数点后保留2位。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eastAsia" w:asciiTheme="minorEastAsia" w:hAnsiTheme="minorEastAsia" w:eastAsiaTheme="minorEastAsia" w:cstheme="minorEastAsia"/>
          <w:sz w:val="21"/>
          <w:szCs w:val="21"/>
          <w:lang w:val="en-US" w:eastAsia="zh-CN"/>
        </w:rPr>
      </w:pPr>
    </w:p>
    <w:p>
      <w:pPr>
        <w:rPr>
          <w:rFonts w:hint="default" w:asciiTheme="minorEastAsia" w:hAnsiTheme="minorEastAsia" w:eastAsiaTheme="minorEastAsia" w:cstheme="minorEastAsia"/>
          <w:sz w:val="21"/>
          <w:szCs w:val="21"/>
          <w:lang w:val="en-US" w:eastAsia="zh-CN"/>
        </w:rPr>
      </w:pPr>
    </w:p>
    <w:p>
      <w:pPr>
        <w:rPr>
          <w:rFonts w:hint="default" w:asciiTheme="minorEastAsia" w:hAnsiTheme="minorEastAsia" w:eastAsiaTheme="minorEastAsia" w:cstheme="minorEastAsia"/>
          <w:sz w:val="21"/>
          <w:szCs w:val="21"/>
          <w:lang w:val="en-US" w:eastAsia="zh-CN"/>
        </w:rPr>
      </w:pPr>
    </w:p>
    <w:tbl>
      <w:tblPr>
        <w:tblStyle w:val="6"/>
        <w:tblpPr w:leftFromText="180" w:rightFromText="180" w:vertAnchor="text" w:horzAnchor="page" w:tblpX="1430" w:tblpY="115"/>
        <w:tblOverlap w:val="never"/>
        <w:tblW w:w="14120" w:type="dxa"/>
        <w:tblInd w:w="0" w:type="dxa"/>
        <w:shd w:val="clear" w:color="auto" w:fill="auto"/>
        <w:tblLayout w:type="fixed"/>
        <w:tblCellMar>
          <w:top w:w="0" w:type="dxa"/>
          <w:left w:w="0" w:type="dxa"/>
          <w:bottom w:w="0" w:type="dxa"/>
          <w:right w:w="0" w:type="dxa"/>
        </w:tblCellMar>
      </w:tblPr>
      <w:tblGrid>
        <w:gridCol w:w="568"/>
        <w:gridCol w:w="1150"/>
        <w:gridCol w:w="1217"/>
        <w:gridCol w:w="1042"/>
        <w:gridCol w:w="951"/>
        <w:gridCol w:w="905"/>
        <w:gridCol w:w="1019"/>
        <w:gridCol w:w="1067"/>
        <w:gridCol w:w="1054"/>
        <w:gridCol w:w="1033"/>
        <w:gridCol w:w="1031"/>
        <w:gridCol w:w="927"/>
        <w:gridCol w:w="1033"/>
        <w:gridCol w:w="1123"/>
      </w:tblGrid>
      <w:tr>
        <w:tblPrEx>
          <w:shd w:val="clear" w:color="auto" w:fill="auto"/>
          <w:tblCellMar>
            <w:top w:w="0" w:type="dxa"/>
            <w:left w:w="0" w:type="dxa"/>
            <w:bottom w:w="0" w:type="dxa"/>
            <w:right w:w="0" w:type="dxa"/>
          </w:tblCellMar>
        </w:tblPrEx>
        <w:trPr>
          <w:trHeight w:val="90" w:hRule="atLeast"/>
        </w:trPr>
        <w:tc>
          <w:tcPr>
            <w:tcW w:w="1412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附</w:t>
            </w:r>
            <w:r>
              <w:rPr>
                <w:rFonts w:hint="eastAsia" w:cs="宋体"/>
                <w:b/>
                <w:i w:val="0"/>
                <w:color w:val="000000"/>
                <w:kern w:val="0"/>
                <w:sz w:val="30"/>
                <w:szCs w:val="30"/>
                <w:u w:val="none"/>
                <w:lang w:val="en-US" w:eastAsia="zh-CN" w:bidi="ar"/>
              </w:rPr>
              <w:t>表</w:t>
            </w:r>
            <w:r>
              <w:rPr>
                <w:rFonts w:hint="eastAsia" w:ascii="宋体" w:hAnsi="宋体" w:eastAsia="宋体" w:cs="宋体"/>
                <w:b/>
                <w:i w:val="0"/>
                <w:color w:val="000000"/>
                <w:kern w:val="0"/>
                <w:sz w:val="30"/>
                <w:szCs w:val="30"/>
                <w:u w:val="none"/>
                <w:lang w:val="en-US" w:eastAsia="zh-CN" w:bidi="ar"/>
              </w:rPr>
              <w:t xml:space="preserve">1.3.1：             </w:t>
            </w:r>
            <w:r>
              <w:rPr>
                <w:rFonts w:hint="eastAsia" w:cs="宋体"/>
                <w:b/>
                <w:i w:val="0"/>
                <w:color w:val="000000"/>
                <w:kern w:val="0"/>
                <w:sz w:val="30"/>
                <w:szCs w:val="30"/>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工程造价咨询企业信用社会评价意见汇总表</w:t>
            </w:r>
          </w:p>
        </w:tc>
      </w:tr>
      <w:tr>
        <w:tblPrEx>
          <w:shd w:val="clear" w:color="auto" w:fill="auto"/>
          <w:tblCellMar>
            <w:top w:w="0" w:type="dxa"/>
            <w:left w:w="0" w:type="dxa"/>
            <w:bottom w:w="0" w:type="dxa"/>
            <w:right w:w="0" w:type="dxa"/>
          </w:tblCellMar>
        </w:tblPrEx>
        <w:trPr>
          <w:trHeight w:val="768" w:hRule="atLeast"/>
        </w:trPr>
        <w:tc>
          <w:tcPr>
            <w:tcW w:w="568"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50"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造价咨询项目名称</w:t>
            </w:r>
          </w:p>
        </w:tc>
        <w:tc>
          <w:tcPr>
            <w:tcW w:w="1217" w:type="dxa"/>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造价咨询项目业主单位名称</w:t>
            </w:r>
          </w:p>
        </w:tc>
        <w:tc>
          <w:tcPr>
            <w:tcW w:w="104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造价咨询         工作计划</w:t>
            </w:r>
          </w:p>
        </w:tc>
        <w:tc>
          <w:tcPr>
            <w:tcW w:w="95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服务态度   专业水平</w:t>
            </w:r>
          </w:p>
        </w:tc>
        <w:tc>
          <w:tcPr>
            <w:tcW w:w="90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成果质量</w:t>
            </w:r>
          </w:p>
        </w:tc>
        <w:tc>
          <w:tcPr>
            <w:tcW w:w="101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执行工作      程序制度</w:t>
            </w:r>
          </w:p>
        </w:tc>
        <w:tc>
          <w:tcPr>
            <w:tcW w:w="106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合同履行情况</w:t>
            </w:r>
          </w:p>
        </w:tc>
        <w:tc>
          <w:tcPr>
            <w:tcW w:w="105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咨询达到         实际目标</w:t>
            </w:r>
          </w:p>
        </w:tc>
        <w:tc>
          <w:tcPr>
            <w:tcW w:w="10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机构设置             人员配备</w:t>
            </w:r>
          </w:p>
        </w:tc>
        <w:tc>
          <w:tcPr>
            <w:tcW w:w="10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咨询工作进度</w:t>
            </w:r>
          </w:p>
        </w:tc>
        <w:tc>
          <w:tcPr>
            <w:tcW w:w="92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职业道德                 廉洁自律</w:t>
            </w:r>
          </w:p>
        </w:tc>
        <w:tc>
          <w:tcPr>
            <w:tcW w:w="103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服务收费           是否合理</w:t>
            </w:r>
          </w:p>
        </w:tc>
        <w:tc>
          <w:tcPr>
            <w:tcW w:w="1123"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社会评价</w:t>
            </w:r>
          </w:p>
        </w:tc>
      </w:tr>
      <w:tr>
        <w:tblPrEx>
          <w:shd w:val="clear" w:color="auto" w:fill="auto"/>
          <w:tblCellMar>
            <w:top w:w="0" w:type="dxa"/>
            <w:left w:w="0" w:type="dxa"/>
            <w:bottom w:w="0" w:type="dxa"/>
            <w:right w:w="0" w:type="dxa"/>
          </w:tblCellMar>
        </w:tblPrEx>
        <w:trPr>
          <w:trHeight w:val="1506" w:hRule="atLeast"/>
        </w:trPr>
        <w:tc>
          <w:tcPr>
            <w:tcW w:w="568"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（优良5-4、一般3-2、较差1-0）            5分</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（优良15-11、一般10-6、  较差5-0）            15分</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（优良15-11、一般10-6、  较差5-0）            15分</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（优良5-4、一般3-2、较差1-0）            5分</w:t>
            </w:r>
          </w:p>
        </w:tc>
        <w:tc>
          <w:tcPr>
            <w:tcW w:w="1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（优良10-6、一般5-3、  较差2-0）            10分</w:t>
            </w:r>
          </w:p>
        </w:tc>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（满意10-6、一般5-3、不满意2-0）              10分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（满意10-6、一般5-3、不满意2-0）              10分</w:t>
            </w:r>
          </w:p>
        </w:tc>
        <w:tc>
          <w:tcPr>
            <w:tcW w:w="1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（满意5-4、一般3-2、不满意1-0）                5分</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（优良20-11、一般10-6、较差5-0）            20分</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（规范5-4、 合理3-2、压价1-0）            5分</w:t>
            </w: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合计得分</w:t>
            </w:r>
          </w:p>
        </w:tc>
      </w:tr>
      <w:tr>
        <w:tblPrEx>
          <w:shd w:val="clear" w:color="auto" w:fill="auto"/>
          <w:tblCellMar>
            <w:top w:w="0" w:type="dxa"/>
            <w:left w:w="0" w:type="dxa"/>
            <w:bottom w:w="0" w:type="dxa"/>
            <w:right w:w="0" w:type="dxa"/>
          </w:tblCellMar>
        </w:tblPrEx>
        <w:trPr>
          <w:trHeight w:val="569" w:hRule="atLeast"/>
        </w:trPr>
        <w:tc>
          <w:tcPr>
            <w:tcW w:w="56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Unicode MS" w:hAnsi="Arial Unicode MS" w:eastAsia="Arial Unicode MS" w:cs="Arial Unicode MS"/>
                <w:i w:val="0"/>
                <w:color w:val="000000"/>
                <w:sz w:val="20"/>
                <w:szCs w:val="20"/>
                <w:u w:val="none"/>
              </w:rPr>
            </w:pPr>
            <w:r>
              <w:rPr>
                <w:rFonts w:hint="default" w:ascii="Arial Unicode MS" w:hAnsi="Arial Unicode MS" w:eastAsia="Arial Unicode MS" w:cs="Arial Unicode MS"/>
                <w:i w:val="0"/>
                <w:color w:val="000000"/>
                <w:kern w:val="0"/>
                <w:sz w:val="20"/>
                <w:szCs w:val="20"/>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69" w:hRule="atLeast"/>
        </w:trPr>
        <w:tc>
          <w:tcPr>
            <w:tcW w:w="56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000000"/>
                <w:sz w:val="20"/>
                <w:szCs w:val="20"/>
                <w:u w:val="none"/>
              </w:rPr>
            </w:pPr>
            <w:r>
              <w:rPr>
                <w:rFonts w:hint="default" w:ascii="Arial Unicode MS" w:hAnsi="Arial Unicode MS" w:eastAsia="Arial Unicode MS" w:cs="Arial Unicode MS"/>
                <w:i w:val="0"/>
                <w:color w:val="000000"/>
                <w:kern w:val="0"/>
                <w:sz w:val="20"/>
                <w:szCs w:val="20"/>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69" w:hRule="atLeast"/>
        </w:trPr>
        <w:tc>
          <w:tcPr>
            <w:tcW w:w="56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000000"/>
                <w:sz w:val="20"/>
                <w:szCs w:val="20"/>
                <w:u w:val="none"/>
              </w:rPr>
            </w:pPr>
            <w:r>
              <w:rPr>
                <w:rFonts w:hint="default" w:ascii="Arial Unicode MS" w:hAnsi="Arial Unicode MS" w:eastAsia="Arial Unicode MS" w:cs="Arial Unicode MS"/>
                <w:i w:val="0"/>
                <w:color w:val="000000"/>
                <w:kern w:val="0"/>
                <w:sz w:val="20"/>
                <w:szCs w:val="20"/>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Unicode MS" w:hAnsi="Arial Unicode MS" w:eastAsia="Arial Unicode MS" w:cs="Arial Unicode MS"/>
                <w:i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Arial Unicode MS" w:hAnsi="Arial Unicode MS" w:eastAsia="Arial Unicode MS" w:cs="Arial Unicode MS"/>
                <w:i w:val="0"/>
                <w:color w:val="000000"/>
                <w:sz w:val="20"/>
                <w:szCs w:val="20"/>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69" w:hRule="atLeast"/>
        </w:trPr>
        <w:tc>
          <w:tcPr>
            <w:tcW w:w="2935" w:type="dxa"/>
            <w:gridSpan w:val="3"/>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000000"/>
                <w:sz w:val="24"/>
                <w:szCs w:val="24"/>
                <w:u w:val="none"/>
              </w:rPr>
            </w:pPr>
            <w:r>
              <w:rPr>
                <w:rFonts w:hint="default" w:ascii="Arial Unicode MS" w:hAnsi="Arial Unicode MS" w:eastAsia="Arial Unicode MS" w:cs="Arial Unicode MS"/>
                <w:i w:val="0"/>
                <w:color w:val="000000"/>
                <w:kern w:val="0"/>
                <w:sz w:val="24"/>
                <w:szCs w:val="24"/>
                <w:u w:val="none"/>
                <w:lang w:val="en-US" w:eastAsia="zh-CN" w:bidi="ar"/>
              </w:rPr>
              <w:t>合计得分</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2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32" w:hRule="atLeast"/>
        </w:trPr>
        <w:tc>
          <w:tcPr>
            <w:tcW w:w="2935" w:type="dxa"/>
            <w:gridSpan w:val="3"/>
            <w:tcBorders>
              <w:top w:val="single" w:color="000000" w:sz="4" w:space="0"/>
              <w:left w:val="single" w:color="000000" w:sz="8"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平均得分 = 合计得分/3</w:t>
            </w:r>
          </w:p>
        </w:tc>
        <w:tc>
          <w:tcPr>
            <w:tcW w:w="104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6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5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2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23"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（注：本表最终得分）</w:t>
            </w:r>
          </w:p>
        </w:tc>
      </w:tr>
      <w:tr>
        <w:tblPrEx>
          <w:shd w:val="clear" w:color="auto" w:fill="auto"/>
          <w:tblCellMar>
            <w:top w:w="0" w:type="dxa"/>
            <w:left w:w="0" w:type="dxa"/>
            <w:bottom w:w="0" w:type="dxa"/>
            <w:right w:w="0" w:type="dxa"/>
          </w:tblCellMar>
        </w:tblPrEx>
        <w:trPr>
          <w:trHeight w:val="981" w:hRule="atLeast"/>
        </w:trPr>
        <w:tc>
          <w:tcPr>
            <w:tcW w:w="2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企业信用社会评价意见</w:t>
            </w:r>
          </w:p>
        </w:tc>
        <w:tc>
          <w:tcPr>
            <w:tcW w:w="1118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1、被评价企业的三个项目经业主单位评价结果是合计得分_________,                                                               2、本表最终得分与附件1中3.1“社会评价”项分值限额3分进行折算计分，被评价企业社会评价得分为__________，计入附件1中3.1“社会评价”项。</w:t>
            </w:r>
          </w:p>
        </w:tc>
      </w:tr>
    </w:tbl>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w:t>
      </w:r>
    </w:p>
    <w:p>
      <w:pPr>
        <w:numPr>
          <w:ilvl w:val="0"/>
          <w:numId w:val="3"/>
        </w:numPr>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省级评价机构随机抽取三个1000万元以上项目，至少两个政府项目，且至少两个结算审核项目进行客户评价调查</w:t>
      </w:r>
      <w:r>
        <w:rPr>
          <w:rFonts w:hint="eastAsia" w:asciiTheme="minorEastAsia" w:hAnsiTheme="minorEastAsia" w:eastAsiaTheme="minorEastAsia" w:cstheme="minorEastAsia"/>
          <w:sz w:val="21"/>
          <w:szCs w:val="21"/>
          <w:lang w:val="en-US" w:eastAsia="zh-CN"/>
        </w:rPr>
        <w:t>；</w:t>
      </w:r>
    </w:p>
    <w:p>
      <w:pPr>
        <w:numPr>
          <w:ilvl w:val="0"/>
          <w:numId w:val="3"/>
        </w:numPr>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本表适用企业（法人），也使用企业的分支机构。</w:t>
      </w:r>
    </w:p>
    <w:tbl>
      <w:tblPr>
        <w:tblStyle w:val="6"/>
        <w:tblpPr w:leftFromText="180" w:rightFromText="180" w:vertAnchor="text" w:horzAnchor="page" w:tblpX="1446" w:tblpY="183"/>
        <w:tblOverlap w:val="never"/>
        <w:tblW w:w="14120" w:type="dxa"/>
        <w:tblInd w:w="0" w:type="dxa"/>
        <w:shd w:val="clear" w:color="auto" w:fill="auto"/>
        <w:tblLayout w:type="fixed"/>
        <w:tblCellMar>
          <w:top w:w="0" w:type="dxa"/>
          <w:left w:w="0" w:type="dxa"/>
          <w:bottom w:w="0" w:type="dxa"/>
          <w:right w:w="0" w:type="dxa"/>
        </w:tblCellMar>
      </w:tblPr>
      <w:tblGrid>
        <w:gridCol w:w="997"/>
        <w:gridCol w:w="831"/>
        <w:gridCol w:w="1164"/>
        <w:gridCol w:w="3092"/>
        <w:gridCol w:w="865"/>
        <w:gridCol w:w="643"/>
        <w:gridCol w:w="644"/>
        <w:gridCol w:w="543"/>
        <w:gridCol w:w="498"/>
        <w:gridCol w:w="2571"/>
        <w:gridCol w:w="2272"/>
      </w:tblGrid>
      <w:tr>
        <w:tblPrEx>
          <w:shd w:val="clear" w:color="auto" w:fill="auto"/>
          <w:tblCellMar>
            <w:top w:w="0" w:type="dxa"/>
            <w:left w:w="0" w:type="dxa"/>
            <w:bottom w:w="0" w:type="dxa"/>
            <w:right w:w="0" w:type="dxa"/>
          </w:tblCellMar>
        </w:tblPrEx>
        <w:trPr>
          <w:trHeight w:val="767" w:hRule="atLeast"/>
        </w:trPr>
        <w:tc>
          <w:tcPr>
            <w:tcW w:w="14120"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附</w:t>
            </w:r>
            <w:r>
              <w:rPr>
                <w:rFonts w:hint="eastAsia" w:cs="宋体"/>
                <w:b/>
                <w:i w:val="0"/>
                <w:color w:val="000000"/>
                <w:kern w:val="0"/>
                <w:sz w:val="30"/>
                <w:szCs w:val="30"/>
                <w:u w:val="none"/>
                <w:lang w:val="en-US" w:eastAsia="zh-CN" w:bidi="ar"/>
              </w:rPr>
              <w:t>表</w:t>
            </w:r>
            <w:r>
              <w:rPr>
                <w:rFonts w:hint="eastAsia" w:ascii="宋体" w:hAnsi="宋体" w:eastAsia="宋体" w:cs="宋体"/>
                <w:b/>
                <w:i w:val="0"/>
                <w:color w:val="000000"/>
                <w:kern w:val="0"/>
                <w:sz w:val="30"/>
                <w:szCs w:val="30"/>
                <w:u w:val="none"/>
                <w:lang w:val="en-US" w:eastAsia="zh-CN" w:bidi="ar"/>
              </w:rPr>
              <w:t xml:space="preserve">1.3.2：              </w:t>
            </w:r>
            <w:r>
              <w:rPr>
                <w:rFonts w:hint="eastAsia" w:cs="宋体"/>
                <w:b/>
                <w:i w:val="0"/>
                <w:color w:val="000000"/>
                <w:kern w:val="0"/>
                <w:sz w:val="30"/>
                <w:szCs w:val="30"/>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造价咨询企业业务流程管理评价参考用表</w:t>
            </w:r>
          </w:p>
        </w:tc>
      </w:tr>
      <w:tr>
        <w:tblPrEx>
          <w:tblCellMar>
            <w:top w:w="0" w:type="dxa"/>
            <w:left w:w="0" w:type="dxa"/>
            <w:bottom w:w="0" w:type="dxa"/>
            <w:right w:w="0" w:type="dxa"/>
          </w:tblCellMar>
        </w:tblPrEx>
        <w:trPr>
          <w:trHeight w:val="736" w:hRule="atLeast"/>
        </w:trPr>
        <w:tc>
          <w:tcPr>
            <w:tcW w:w="99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83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三级指标(X)</w:t>
            </w:r>
          </w:p>
        </w:tc>
        <w:tc>
          <w:tcPr>
            <w:tcW w:w="309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评价标准</w:t>
            </w:r>
          </w:p>
        </w:tc>
        <w:tc>
          <w:tcPr>
            <w:tcW w:w="8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计算公式</w:t>
            </w:r>
          </w:p>
        </w:tc>
        <w:tc>
          <w:tcPr>
            <w:tcW w:w="64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限额</w:t>
            </w:r>
          </w:p>
        </w:tc>
        <w:tc>
          <w:tcPr>
            <w:tcW w:w="64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54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扣分限额</w:t>
            </w:r>
          </w:p>
        </w:tc>
        <w:tc>
          <w:tcPr>
            <w:tcW w:w="49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w:t>
            </w:r>
          </w:p>
        </w:tc>
        <w:tc>
          <w:tcPr>
            <w:tcW w:w="257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2272"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数据来源</w:t>
            </w:r>
          </w:p>
        </w:tc>
      </w:tr>
      <w:tr>
        <w:tblPrEx>
          <w:shd w:val="clear" w:color="auto" w:fill="auto"/>
          <w:tblCellMar>
            <w:top w:w="0" w:type="dxa"/>
            <w:left w:w="0" w:type="dxa"/>
            <w:bottom w:w="0" w:type="dxa"/>
            <w:right w:w="0" w:type="dxa"/>
          </w:tblCellMar>
        </w:tblPrEx>
        <w:trPr>
          <w:trHeight w:val="1014"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3.各地自主评分或自定义评分项</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成果质量</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造价咨询业务流程管理</w:t>
            </w: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抽检项目有咨询方案或作业计划书，咨询方案内容完整、可行且有针对性的每个项目加0.5分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完整是指咨询范围、内容、方法、程序、人员安排、时间要求、质量要求等齐全</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省级评价机构随机抽取评价期内每年1个政府投资项目，原则上项目规模1000万元以上，项目类型包括土建、安装、装饰、市政等至少两种，咨询类型包括结算审核、工程量清单及招标控制价编制等。如全部项目都不满足上述条件，由抽取机构自行调整并作说明</w:t>
            </w:r>
          </w:p>
        </w:tc>
      </w:tr>
      <w:tr>
        <w:tblPrEx>
          <w:shd w:val="clear" w:color="auto" w:fill="auto"/>
          <w:tblCellMar>
            <w:top w:w="0" w:type="dxa"/>
            <w:left w:w="0" w:type="dxa"/>
            <w:bottom w:w="0" w:type="dxa"/>
            <w:right w:w="0" w:type="dxa"/>
          </w:tblCellMar>
        </w:tblPrEx>
        <w:trPr>
          <w:trHeight w:val="1014"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没有三级复核流程单每个项目扣3分，流程单上签章或日期不全、对应关系不正确的每处扣0.5分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“X”指填写详实的审核意见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三级审核意见不详是指意见适用于所有项目，没有对本项目具体问题的针对性处理过程或方法</w:t>
            </w: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7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流程单流于形式，三级审核意见不详细或没有针对性的每处减0.2分；项目负责人复核意见和技术负责人审核意见填写详实的，每处加0.25分。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0.25*X</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478"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三级复核的底稿齐全，问题处理有迹可循的，每个项目加0.5分</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0.5*X</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需要计算的工程量有计算底稿、新增单价有组价过程、需要定价的材料有询价定价记录、重大问题处理有会审纪要等</w:t>
            </w: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19" w:hRule="atLeast"/>
        </w:trPr>
        <w:tc>
          <w:tcPr>
            <w:tcW w:w="694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2"/>
                <w:szCs w:val="22"/>
                <w:u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FF0000"/>
                <w:sz w:val="22"/>
                <w:szCs w:val="22"/>
                <w:u w:val="none"/>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bidi w:val="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备注：</w:t>
      </w:r>
    </w:p>
    <w:p>
      <w:pPr>
        <w:numPr>
          <w:ilvl w:val="0"/>
          <w:numId w:val="4"/>
        </w:numPr>
        <w:bidi w:val="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本表评份标准适用于企业信用评价造价咨询业务流程管理评价；</w:t>
      </w:r>
    </w:p>
    <w:p>
      <w:pPr>
        <w:widowControl w:val="0"/>
        <w:numPr>
          <w:ilvl w:val="0"/>
          <w:numId w:val="4"/>
        </w:numPr>
        <w:autoSpaceDE w:val="0"/>
        <w:autoSpaceDN w:val="0"/>
        <w:bidi w:val="0"/>
        <w:spacing w:before="0" w:after="0" w:line="240" w:lineRule="auto"/>
        <w:ind w:left="0" w:leftChars="0" w:right="0" w:rightChars="0" w:firstLine="0" w:firstLine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本表得分纳入附件1中3.2.1“造价咨询业务流程管理”项，与该项中的限额分值进行折算计分。</w:t>
      </w:r>
    </w:p>
    <w:p>
      <w:pPr>
        <w:widowControl w:val="0"/>
        <w:numPr>
          <w:ilvl w:val="0"/>
          <w:numId w:val="0"/>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pPr>
    </w:p>
    <w:tbl>
      <w:tblPr>
        <w:tblStyle w:val="6"/>
        <w:tblpPr w:leftFromText="180" w:rightFromText="180" w:vertAnchor="text" w:horzAnchor="page" w:tblpX="1424" w:tblpY="55"/>
        <w:tblOverlap w:val="never"/>
        <w:tblW w:w="14180" w:type="dxa"/>
        <w:tblInd w:w="0" w:type="dxa"/>
        <w:shd w:val="clear" w:color="auto" w:fill="auto"/>
        <w:tblLayout w:type="fixed"/>
        <w:tblCellMar>
          <w:top w:w="0" w:type="dxa"/>
          <w:left w:w="0" w:type="dxa"/>
          <w:bottom w:w="0" w:type="dxa"/>
          <w:right w:w="0" w:type="dxa"/>
        </w:tblCellMar>
      </w:tblPr>
      <w:tblGrid>
        <w:gridCol w:w="920"/>
        <w:gridCol w:w="920"/>
        <w:gridCol w:w="1350"/>
        <w:gridCol w:w="4246"/>
        <w:gridCol w:w="569"/>
        <w:gridCol w:w="576"/>
        <w:gridCol w:w="569"/>
        <w:gridCol w:w="591"/>
        <w:gridCol w:w="581"/>
        <w:gridCol w:w="1708"/>
        <w:gridCol w:w="2150"/>
      </w:tblGrid>
      <w:tr>
        <w:tblPrEx>
          <w:shd w:val="clear" w:color="auto" w:fill="auto"/>
          <w:tblCellMar>
            <w:top w:w="0" w:type="dxa"/>
            <w:left w:w="0" w:type="dxa"/>
            <w:bottom w:w="0" w:type="dxa"/>
            <w:right w:w="0" w:type="dxa"/>
          </w:tblCellMar>
        </w:tblPrEx>
        <w:trPr>
          <w:trHeight w:val="90" w:hRule="atLeast"/>
        </w:trPr>
        <w:tc>
          <w:tcPr>
            <w:tcW w:w="14180" w:type="dxa"/>
            <w:gridSpan w:val="11"/>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 xml:space="preserve">附表1.3.3：           </w:t>
            </w:r>
            <w:r>
              <w:rPr>
                <w:rFonts w:hint="eastAsia" w:cs="宋体"/>
                <w:b/>
                <w:i w:val="0"/>
                <w:color w:val="000000"/>
                <w:kern w:val="0"/>
                <w:sz w:val="30"/>
                <w:szCs w:val="30"/>
                <w:u w:val="none"/>
                <w:lang w:val="en-US" w:eastAsia="zh-CN" w:bidi="ar"/>
              </w:rPr>
              <w:t xml:space="preserve"> </w:t>
            </w:r>
            <w:r>
              <w:rPr>
                <w:rFonts w:hint="eastAsia" w:ascii="宋体" w:hAnsi="宋体" w:eastAsia="宋体" w:cs="宋体"/>
                <w:b/>
                <w:i w:val="0"/>
                <w:color w:val="000000"/>
                <w:kern w:val="0"/>
                <w:sz w:val="30"/>
                <w:szCs w:val="30"/>
                <w:u w:val="none"/>
                <w:lang w:val="en-US" w:eastAsia="zh-CN" w:bidi="ar"/>
              </w:rPr>
              <w:t xml:space="preserve">  造价咨询企业咨询业务成果质量评价参考用表</w:t>
            </w:r>
          </w:p>
        </w:tc>
      </w:tr>
      <w:tr>
        <w:tblPrEx>
          <w:shd w:val="clear" w:color="auto" w:fill="auto"/>
          <w:tblCellMar>
            <w:top w:w="0" w:type="dxa"/>
            <w:left w:w="0" w:type="dxa"/>
            <w:bottom w:w="0" w:type="dxa"/>
            <w:right w:w="0" w:type="dxa"/>
          </w:tblCellMar>
        </w:tblPrEx>
        <w:trPr>
          <w:trHeight w:val="680" w:hRule="atLeast"/>
        </w:trPr>
        <w:tc>
          <w:tcPr>
            <w:tcW w:w="920" w:type="dxa"/>
            <w:tcBorders>
              <w:top w:val="single" w:color="000000" w:sz="8" w:space="0"/>
              <w:left w:val="single" w:color="000000" w:sz="8"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920" w:type="dxa"/>
            <w:tcBorders>
              <w:top w:val="single" w:color="000000" w:sz="8"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3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三级指标(X)</w:t>
            </w:r>
          </w:p>
        </w:tc>
        <w:tc>
          <w:tcPr>
            <w:tcW w:w="424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评价标准</w:t>
            </w:r>
          </w:p>
        </w:tc>
        <w:tc>
          <w:tcPr>
            <w:tcW w:w="56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计算公式</w:t>
            </w:r>
          </w:p>
        </w:tc>
        <w:tc>
          <w:tcPr>
            <w:tcW w:w="57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得分限额</w:t>
            </w:r>
          </w:p>
        </w:tc>
        <w:tc>
          <w:tcPr>
            <w:tcW w:w="56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得分</w:t>
            </w:r>
          </w:p>
        </w:tc>
        <w:tc>
          <w:tcPr>
            <w:tcW w:w="59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扣分限额</w:t>
            </w:r>
          </w:p>
        </w:tc>
        <w:tc>
          <w:tcPr>
            <w:tcW w:w="58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w:t>
            </w:r>
          </w:p>
        </w:tc>
        <w:tc>
          <w:tcPr>
            <w:tcW w:w="170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215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评价内容和信息  数据来源</w:t>
            </w:r>
          </w:p>
        </w:tc>
      </w:tr>
      <w:tr>
        <w:tblPrEx>
          <w:shd w:val="clear" w:color="auto" w:fill="auto"/>
          <w:tblCellMar>
            <w:top w:w="0" w:type="dxa"/>
            <w:left w:w="0" w:type="dxa"/>
            <w:bottom w:w="0" w:type="dxa"/>
            <w:right w:w="0" w:type="dxa"/>
          </w:tblCellMar>
        </w:tblPrEx>
        <w:trPr>
          <w:trHeight w:val="4924" w:hRule="atLeast"/>
        </w:trPr>
        <w:tc>
          <w:tcPr>
            <w:tcW w:w="920"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3.各地自主评分或自定义评分项</w:t>
            </w:r>
          </w:p>
        </w:tc>
        <w:tc>
          <w:tcPr>
            <w:tcW w:w="92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成果质量</w:t>
            </w:r>
          </w:p>
        </w:tc>
        <w:tc>
          <w:tcPr>
            <w:tcW w:w="1350" w:type="dxa"/>
            <w:vMerge w:val="restart"/>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造价咨询业务成果质量情况</w:t>
            </w: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咨询成果质量：                            计价程序或取费基数错误的，每处减1分；（2）应进行工程量计算而无工程量计算书的（工程量计算书为电子媒介附在咨询成果档案中视同提供，下同），每个单位工程减2分；有工程量计算书而不完整的，视不完整程度减0.5~1分；（3）定额套用或组价错误的，每处减0.2分；（4）管理费或利润计取错误的，每处减0.1分；（5）措施项目费计取错误或无依据的，每处减0.3分；（6）规费计取错误的，每处减0.3分；（7）税率错误的减0.3分（若是增值税计成营业税的每个项目减1分）；（8）咨询报告书、审定单、汇总表、成果内容封面、质量控制流程单等资料数据、日期对应关系错误，每一处减0.2分；（9）其它影响工程计价结果的错误，视影响程度减0.1～0.3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由省级评价机构随机抽取评价期内每年1个政府投资项目，原则上项目规模1000万元以上，项目类型包括土建、安装、装饰、市政等至少两种，咨询类型包括结算审核、工程量清单及招标控制价编制等。如全部项目都不满足上述条件，由抽取机构自行调整并作说明。</w:t>
            </w:r>
          </w:p>
        </w:tc>
      </w:tr>
      <w:tr>
        <w:tblPrEx>
          <w:shd w:val="clear" w:color="auto" w:fill="auto"/>
          <w:tblCellMar>
            <w:top w:w="0" w:type="dxa"/>
            <w:left w:w="0" w:type="dxa"/>
            <w:bottom w:w="0" w:type="dxa"/>
            <w:right w:w="0" w:type="dxa"/>
          </w:tblCellMar>
        </w:tblPrEx>
        <w:trPr>
          <w:trHeight w:val="4304"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预、结算审核：                               （1）计价方式与施工合同约定不符，每个单位工程减5分；（2）应让利而未让利或让利计取错误的每个单位工程减1分；（3）人工单价计取错误的每个单位工程减1分，人工费应调差而未调的，每个单位工程减2分，人工费调差错误的每个单位工程减1分；（4）材料价格计取错误的，每处减0.2分，材料应调差而未调的每个单位工程减2分，材差调整错误的，每项减0.2分；（5）结算中的甲供材、水电费的处理在咨询报告或审定单中未作说明的每项减0.3分；（6）施工合同中关于工期、质量等奖罚处理在报告中未作说明的每项减0.2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54"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抽检的工程量清单或招标控制价编制项目：</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未按招标文件要求编制的减1分；（2）无编制说明的减0.5分，编制说明描写不详细的减0.2分；（3）清单中有违反计价规范条款的，每处减0.2分；（4）项目特征未按规范要求详细描述的每项减0.1分；（5）工程量清单项目、计价定额子目套用错误的每项减0.2分；（6）招标控制价中措施项目费应计而未计的，每处减0.2分，计取不合理的，每处减0.1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92"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报告书要件齐全：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报告书封面、扉页、目录、正文、审定单、成果文件必备的内容每缺一项扣0.25分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果文件内容指预结算书的封面、项目费汇总表、单项工程费汇总表、单位工程费汇总表、工程量清单计价表（预结算表）、措施项目清单计价表及明细表、其它项目清单计价表、规费与税金计价表、甲供材明细表、甲供材超欠供表（如造价中反映）、水电费明细表（如造价中需要）、其它费用包括奖罚费用等造价中包含费用的明细表</w:t>
            </w: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450"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报告书内容准确、完整、规范：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咨询报告书中工程概况、审核范围、审核依据、送审工程结算金额、审定金额、核减（增）金额及其主要原因、应披露的重大事项未表述齐全的，每缺一项减0.2分；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10"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报告书签章齐全正确：                    （1）报告书扉页未盖企业执业专用章，每个项目扣0.25分；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（2）报告书落款必须有项目负责人签字、盖执业资格章，单位盖公章，每缺1项扣0.2分；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（3）工程结算审定单必须有各方盖章和咨询单位项目负责人签字盖章及签发人签字，每缺一项减0.2分。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预结算书封面是否签章根据各省规定考评</w:t>
            </w: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19"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档案的完整性：                          档案内容包括咨询成果文件、底稿、咨询依据文件、流程文件、备考表、成果文件电子档等，每缺一项扣0.25分。</w:t>
            </w:r>
          </w:p>
        </w:tc>
        <w:tc>
          <w:tcPr>
            <w:tcW w:w="5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档案内容、归档顺序、装订、签字要求等按《工程造价咨询业务操作指导规程》等文件规定；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成果文件档案内容不齐全按项扣分;</w:t>
            </w:r>
          </w:p>
        </w:tc>
        <w:tc>
          <w:tcPr>
            <w:tcW w:w="215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72"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档案的规范性：                          档案文件规范、装订顺序符合要求、签章齐全，不符合要求的每处扣0.2分</w:t>
            </w: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96" w:hRule="atLeast"/>
        </w:trPr>
        <w:tc>
          <w:tcPr>
            <w:tcW w:w="92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归档的及时性：                           应当在规定的期限内归档完毕，超过规定期限每项目扣0.5分</w:t>
            </w: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根据各省规定执行，无规定的按咨询成果报告出具后40天内</w:t>
            </w:r>
          </w:p>
        </w:tc>
        <w:tc>
          <w:tcPr>
            <w:tcW w:w="215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73" w:hRule="atLeast"/>
        </w:trPr>
        <w:tc>
          <w:tcPr>
            <w:tcW w:w="7436" w:type="dxa"/>
            <w:gridSpan w:val="4"/>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5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6"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40"/>
                <w:szCs w:val="40"/>
                <w:u w:val="none"/>
              </w:rPr>
            </w:pPr>
          </w:p>
        </w:tc>
        <w:tc>
          <w:tcPr>
            <w:tcW w:w="569"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581"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8"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50"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val="0"/>
        <w:numPr>
          <w:ilvl w:val="0"/>
          <w:numId w:val="0"/>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备注：</w:t>
      </w:r>
    </w:p>
    <w:p>
      <w:pPr>
        <w:widowControl w:val="0"/>
        <w:numPr>
          <w:ilvl w:val="0"/>
          <w:numId w:val="5"/>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各地（省市自治区）自行制定评价办法或参考本表的评价办法</w:t>
      </w:r>
      <w:r>
        <w:rPr>
          <w:rFonts w:hint="eastAsia" w:cs="宋体"/>
          <w:sz w:val="22"/>
          <w:szCs w:val="22"/>
          <w:lang w:val="en-US" w:eastAsia="zh-CN" w:bidi="zh-CN"/>
        </w:rPr>
        <w:t>；</w:t>
      </w:r>
    </w:p>
    <w:p>
      <w:pPr>
        <w:widowControl w:val="0"/>
        <w:numPr>
          <w:ilvl w:val="0"/>
          <w:numId w:val="5"/>
        </w:numPr>
        <w:autoSpaceDE w:val="0"/>
        <w:autoSpaceDN w:val="0"/>
        <w:bidi w:val="0"/>
        <w:spacing w:before="0" w:after="0" w:line="240" w:lineRule="auto"/>
        <w:ind w:left="0" w:leftChars="0" w:right="0" w:rightChars="0" w:firstLine="0" w:firstLineChars="0"/>
        <w:jc w:val="left"/>
        <w:rPr>
          <w:rFonts w:hint="default" w:ascii="宋体" w:hAnsi="宋体" w:eastAsia="宋体" w:cs="宋体"/>
          <w:sz w:val="22"/>
          <w:szCs w:val="22"/>
          <w:lang w:val="en-US" w:eastAsia="zh-CN" w:bidi="zh-CN"/>
        </w:rPr>
      </w:pPr>
      <w:r>
        <w:rPr>
          <w:rFonts w:hint="default" w:ascii="宋体" w:hAnsi="宋体" w:eastAsia="宋体" w:cs="宋体"/>
          <w:sz w:val="22"/>
          <w:szCs w:val="22"/>
          <w:lang w:val="en-US" w:eastAsia="zh-CN" w:bidi="zh-CN"/>
        </w:rPr>
        <w:t>由各地（省市自治区）根据信用评价管理办法规定的自由裁量权，制定“自主评分项”评价办法和分值评定标准</w:t>
      </w:r>
      <w:r>
        <w:rPr>
          <w:rFonts w:hint="eastAsia" w:cs="宋体"/>
          <w:sz w:val="22"/>
          <w:szCs w:val="22"/>
          <w:lang w:val="en-US" w:eastAsia="zh-CN" w:bidi="zh-CN"/>
        </w:rPr>
        <w:t>；</w:t>
      </w:r>
    </w:p>
    <w:p>
      <w:pPr>
        <w:widowControl w:val="0"/>
        <w:numPr>
          <w:ilvl w:val="0"/>
          <w:numId w:val="0"/>
        </w:numPr>
        <w:autoSpaceDE w:val="0"/>
        <w:autoSpaceDN w:val="0"/>
        <w:bidi w:val="0"/>
        <w:spacing w:before="0" w:after="0" w:line="240" w:lineRule="auto"/>
        <w:ind w:leftChars="0" w:right="0" w:rightChars="0"/>
        <w:jc w:val="left"/>
        <w:rPr>
          <w:rFonts w:hint="default" w:ascii="宋体" w:hAnsi="宋体" w:eastAsia="宋体" w:cs="宋体"/>
          <w:sz w:val="22"/>
          <w:szCs w:val="22"/>
          <w:lang w:val="en-US" w:eastAsia="zh-CN" w:bidi="zh-CN"/>
        </w:rPr>
      </w:pPr>
      <w:r>
        <w:rPr>
          <w:rFonts w:hint="eastAsia" w:cs="宋体"/>
          <w:sz w:val="22"/>
          <w:szCs w:val="22"/>
          <w:lang w:val="en-US" w:eastAsia="zh-CN" w:bidi="zh-CN"/>
        </w:rPr>
        <w:t>3、</w:t>
      </w:r>
      <w:r>
        <w:rPr>
          <w:rFonts w:hint="default" w:ascii="宋体" w:hAnsi="宋体" w:eastAsia="宋体" w:cs="宋体"/>
          <w:sz w:val="22"/>
          <w:szCs w:val="22"/>
          <w:lang w:val="en-US" w:eastAsia="zh-CN" w:bidi="zh-CN"/>
        </w:rPr>
        <w:t>本附件评份标准适用于企业信用评价的造价咨询业务成果质量评价；</w:t>
      </w:r>
    </w:p>
    <w:p>
      <w:pPr>
        <w:widowControl w:val="0"/>
        <w:numPr>
          <w:ilvl w:val="0"/>
          <w:numId w:val="0"/>
        </w:numPr>
        <w:autoSpaceDE w:val="0"/>
        <w:autoSpaceDN w:val="0"/>
        <w:bidi w:val="0"/>
        <w:spacing w:before="0" w:after="0" w:line="240" w:lineRule="auto"/>
        <w:ind w:right="0" w:rightChars="0"/>
        <w:jc w:val="left"/>
        <w:rPr>
          <w:rFonts w:hint="default" w:ascii="宋体" w:hAnsi="宋体" w:eastAsia="宋体" w:cs="宋体"/>
          <w:sz w:val="22"/>
          <w:szCs w:val="22"/>
          <w:lang w:val="en-US" w:eastAsia="zh-CN" w:bidi="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default" w:ascii="宋体" w:hAnsi="宋体" w:eastAsia="宋体" w:cs="宋体"/>
          <w:sz w:val="22"/>
          <w:szCs w:val="22"/>
          <w:lang w:val="en-US" w:eastAsia="zh-CN" w:bidi="zh-CN"/>
        </w:rPr>
        <w:t>4、本附件得分纳入附件1中3.2.2“造价咨询业务成果质量情况”项，与该项中的限额分值进行折算计分。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63" w:beforeLines="50" w:line="360" w:lineRule="auto"/>
        <w:ind w:right="0" w:rightChars="0"/>
        <w:textAlignment w:val="auto"/>
        <w:rPr>
          <w:rFonts w:hint="eastAsia" w:asciiTheme="minorEastAsia" w:hAnsiTheme="minorEastAsia" w:eastAsiaTheme="minorEastAsia" w:cstheme="minorEastAsia"/>
          <w:b/>
          <w:i w:val="0"/>
          <w:color w:val="000000"/>
          <w:kern w:val="0"/>
          <w:sz w:val="28"/>
          <w:szCs w:val="28"/>
          <w:u w:val="none"/>
          <w:lang w:val="en-US" w:eastAsia="zh-CN" w:bidi="ar"/>
        </w:rPr>
      </w:pPr>
      <w:r>
        <w:rPr>
          <w:rFonts w:hint="eastAsia" w:asciiTheme="minorEastAsia" w:hAnsiTheme="minorEastAsia" w:eastAsiaTheme="minorEastAsia" w:cstheme="minorEastAsia"/>
          <w:b/>
          <w:i w:val="0"/>
          <w:color w:val="000000"/>
          <w:kern w:val="0"/>
          <w:sz w:val="28"/>
          <w:szCs w:val="28"/>
          <w:u w:val="none"/>
          <w:lang w:val="en-US" w:eastAsia="zh-CN" w:bidi="ar"/>
        </w:rPr>
        <w:t>附表2：  工程造价咨询企业营业收入及造价咨询业务收入评分表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25" w:leftChars="0" w:right="0" w:rightChars="0"/>
        <w:textAlignment w:val="auto"/>
        <w:rPr>
          <w:rFonts w:hint="eastAsia" w:asciiTheme="minorEastAsia" w:hAnsiTheme="minorEastAsia" w:eastAsiaTheme="minorEastAsia" w:cstheme="minorEastAsia"/>
          <w:b/>
          <w:i w:val="0"/>
          <w:color w:val="000000"/>
          <w:kern w:val="0"/>
          <w:sz w:val="13"/>
          <w:szCs w:val="13"/>
          <w:u w:val="none"/>
          <w:lang w:val="en-US" w:eastAsia="zh-CN" w:bidi="ar"/>
        </w:rPr>
      </w:pPr>
    </w:p>
    <w:tbl>
      <w:tblPr>
        <w:tblStyle w:val="6"/>
        <w:tblW w:w="8680" w:type="dxa"/>
        <w:tblInd w:w="82" w:type="dxa"/>
        <w:shd w:val="clear" w:color="auto" w:fill="auto"/>
        <w:tblLayout w:type="fixed"/>
        <w:tblCellMar>
          <w:top w:w="0" w:type="dxa"/>
          <w:left w:w="0" w:type="dxa"/>
          <w:bottom w:w="0" w:type="dxa"/>
          <w:right w:w="0" w:type="dxa"/>
        </w:tblCellMar>
      </w:tblPr>
      <w:tblGrid>
        <w:gridCol w:w="740"/>
        <w:gridCol w:w="3426"/>
        <w:gridCol w:w="1974"/>
        <w:gridCol w:w="1416"/>
        <w:gridCol w:w="1124"/>
      </w:tblGrid>
      <w:tr>
        <w:tblPrEx>
          <w:shd w:val="clear" w:color="auto" w:fill="auto"/>
          <w:tblCellMar>
            <w:top w:w="0" w:type="dxa"/>
            <w:left w:w="0" w:type="dxa"/>
            <w:bottom w:w="0" w:type="dxa"/>
            <w:right w:w="0" w:type="dxa"/>
          </w:tblCellMar>
        </w:tblPrEx>
        <w:trPr>
          <w:trHeight w:val="873" w:hRule="atLeast"/>
        </w:trPr>
        <w:tc>
          <w:tcPr>
            <w:tcW w:w="740"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42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收入排名</w:t>
            </w:r>
          </w:p>
        </w:tc>
        <w:tc>
          <w:tcPr>
            <w:tcW w:w="197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营业收入分值</w:t>
            </w:r>
          </w:p>
        </w:tc>
        <w:tc>
          <w:tcPr>
            <w:tcW w:w="1416" w:type="dxa"/>
            <w:tcBorders>
              <w:top w:val="single" w:color="000000" w:sz="8"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造价咨询收入分值</w:t>
            </w:r>
          </w:p>
        </w:tc>
        <w:tc>
          <w:tcPr>
            <w:tcW w:w="1124"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30%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4</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10</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30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40%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3.5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8</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40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50%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3</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6</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50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60%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2.5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5</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60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70%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2</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4</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70</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xml:space="preserve"> ~ 80%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3</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 xml:space="preserve">80 </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90%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2</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4" w:hRule="atLeast"/>
        </w:trPr>
        <w:tc>
          <w:tcPr>
            <w:tcW w:w="74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lang w:val="en-US" w:eastAsia="zh-CN" w:bidi="ar"/>
              </w:rPr>
              <w:t>前</w:t>
            </w:r>
            <w:r>
              <w:rPr>
                <w:rFonts w:ascii="Arial Narrow" w:hAnsi="Arial Narrow" w:eastAsia="Arial Narrow" w:cs="Arial Narrow"/>
                <w:i w:val="0"/>
                <w:color w:val="000000"/>
                <w:kern w:val="0"/>
                <w:sz w:val="22"/>
                <w:szCs w:val="22"/>
                <w:u w:val="none"/>
                <w:lang w:val="en-US" w:eastAsia="zh-CN" w:bidi="ar"/>
              </w:rPr>
              <w:t xml:space="preserve">90 </w:t>
            </w:r>
            <w:r>
              <w:rPr>
                <w:rStyle w:val="19"/>
                <w:lang w:val="en-US" w:eastAsia="zh-CN" w:bidi="ar"/>
              </w:rPr>
              <w:t>（不含）</w:t>
            </w:r>
            <w:r>
              <w:rPr>
                <w:rFonts w:ascii="Arial Narrow" w:hAnsi="Arial Narrow" w:eastAsia="Arial Narrow" w:cs="Arial Narrow"/>
                <w:i w:val="0"/>
                <w:color w:val="000000"/>
                <w:kern w:val="0"/>
                <w:sz w:val="22"/>
                <w:szCs w:val="22"/>
                <w:u w:val="none"/>
                <w:lang w:val="en-US" w:eastAsia="zh-CN" w:bidi="ar"/>
              </w:rPr>
              <w:t>~ 100%</w:t>
            </w:r>
            <w:r>
              <w:rPr>
                <w:rStyle w:val="19"/>
                <w:lang w:val="en-US" w:eastAsia="zh-CN" w:bidi="ar"/>
              </w:rPr>
              <w:t>（含）</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0.5</w:t>
            </w:r>
          </w:p>
        </w:tc>
        <w:tc>
          <w:tcPr>
            <w:tcW w:w="141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1</w:t>
            </w:r>
          </w:p>
        </w:tc>
        <w:tc>
          <w:tcPr>
            <w:tcW w:w="112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8" w:hRule="atLeast"/>
        </w:trPr>
        <w:tc>
          <w:tcPr>
            <w:tcW w:w="740"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426"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eastAsia" w:ascii="宋体" w:hAnsi="宋体" w:eastAsia="宋体" w:cs="宋体"/>
                <w:i w:val="0"/>
                <w:color w:val="000000"/>
                <w:kern w:val="0"/>
                <w:sz w:val="22"/>
                <w:szCs w:val="22"/>
                <w:u w:val="none"/>
                <w:lang w:val="en-US" w:eastAsia="zh-CN" w:bidi="ar"/>
              </w:rPr>
              <w:t>无收入</w:t>
            </w:r>
          </w:p>
        </w:tc>
        <w:tc>
          <w:tcPr>
            <w:tcW w:w="197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0</w:t>
            </w:r>
          </w:p>
        </w:tc>
        <w:tc>
          <w:tcPr>
            <w:tcW w:w="1416"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Narrow" w:hAnsi="Arial Narrow" w:eastAsia="Arial Narrow" w:cs="Arial Narrow"/>
                <w:i w:val="0"/>
                <w:color w:val="000000"/>
                <w:sz w:val="22"/>
                <w:szCs w:val="22"/>
                <w:u w:val="none"/>
              </w:rPr>
            </w:pPr>
            <w:r>
              <w:rPr>
                <w:rFonts w:hint="default" w:ascii="Arial Narrow" w:hAnsi="Arial Narrow" w:eastAsia="Arial Narrow" w:cs="Arial Narrow"/>
                <w:i w:val="0"/>
                <w:color w:val="000000"/>
                <w:kern w:val="0"/>
                <w:sz w:val="22"/>
                <w:szCs w:val="22"/>
                <w:u w:val="none"/>
                <w:lang w:val="en-US" w:eastAsia="zh-CN" w:bidi="ar"/>
              </w:rPr>
              <w:t>0</w:t>
            </w:r>
          </w:p>
        </w:tc>
        <w:tc>
          <w:tcPr>
            <w:tcW w:w="1124"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注：1、工程造价咨询企业营业收入及造价咨询业务收入均从工程造价咨询统计系统导入。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2、营业收入分值对应营业收入排名，造价咨询业务收入分值对应造价咨询收入排名。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default" w:asciiTheme="minorEastAsia" w:hAnsiTheme="minorEastAsia" w:eastAsiaTheme="minorEastAsia" w:cstheme="minorEastAsia"/>
          <w:sz w:val="21"/>
          <w:szCs w:val="21"/>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24" w:charSpace="0"/>
        </w:sectPr>
      </w:pPr>
      <w:r>
        <w:rPr>
          <w:rFonts w:hint="eastAsia" w:asciiTheme="minorEastAsia" w:hAnsiTheme="minorEastAsia" w:eastAsiaTheme="minorEastAsia" w:cstheme="minorEastAsia"/>
          <w:sz w:val="21"/>
          <w:szCs w:val="21"/>
          <w:lang w:val="en-US" w:eastAsia="zh-CN"/>
        </w:rPr>
        <w:t>3、收入排名按企业在注册所在地（省、市、自治区）进行排名，各行业按所属行业进行排名。</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b/>
          <w:bCs/>
          <w:sz w:val="28"/>
          <w:szCs w:val="28"/>
          <w:lang w:val="en-US" w:eastAsia="zh-CN"/>
        </w:rPr>
      </w:pPr>
      <w:r>
        <w:rPr>
          <w:rFonts w:hint="default" w:asciiTheme="minorEastAsia" w:hAnsiTheme="minorEastAsia" w:eastAsiaTheme="minorEastAsia" w:cstheme="minorEastAsia"/>
          <w:b/>
          <w:bCs/>
          <w:sz w:val="28"/>
          <w:szCs w:val="28"/>
          <w:lang w:val="en-US" w:eastAsia="zh-CN"/>
        </w:rPr>
        <w:t>附</w:t>
      </w:r>
      <w:r>
        <w:rPr>
          <w:rFonts w:hint="eastAsia" w:asciiTheme="minorEastAsia" w:hAnsiTheme="minorEastAsia" w:eastAsiaTheme="minorEastAsia" w:cstheme="minorEastAsia"/>
          <w:b/>
          <w:bCs/>
          <w:sz w:val="28"/>
          <w:szCs w:val="28"/>
          <w:lang w:val="en-US" w:eastAsia="zh-CN"/>
        </w:rPr>
        <w:t>表</w:t>
      </w:r>
      <w:r>
        <w:rPr>
          <w:rFonts w:hint="default" w:asciiTheme="minorEastAsia" w:hAnsiTheme="minorEastAsia" w:eastAsiaTheme="minorEastAsia" w:cstheme="minorEastAsia"/>
          <w:b/>
          <w:bCs/>
          <w:sz w:val="28"/>
          <w:szCs w:val="28"/>
          <w:lang w:val="en-US" w:eastAsia="zh-CN"/>
        </w:rPr>
        <w:t xml:space="preserve">3：                          </w:t>
      </w:r>
      <w:r>
        <w:rPr>
          <w:rFonts w:hint="eastAsia" w:asciiTheme="minorEastAsia" w:hAnsiTheme="minorEastAsia" w:cstheme="minorEastAsia"/>
          <w:b/>
          <w:bCs/>
          <w:sz w:val="28"/>
          <w:szCs w:val="28"/>
          <w:lang w:val="en-US" w:eastAsia="zh-CN"/>
        </w:rPr>
        <w:t xml:space="preserve"> </w:t>
      </w:r>
      <w:r>
        <w:rPr>
          <w:rFonts w:hint="default" w:asciiTheme="minorEastAsia" w:hAnsiTheme="minorEastAsia" w:eastAsiaTheme="minorEastAsia" w:cstheme="minorEastAsia"/>
          <w:b/>
          <w:bCs/>
          <w:sz w:val="28"/>
          <w:szCs w:val="28"/>
          <w:lang w:val="en-US" w:eastAsia="zh-CN"/>
        </w:rPr>
        <w:t xml:space="preserve"> 工程造价咨询企业良好行为加分表</w:t>
      </w:r>
    </w:p>
    <w:tbl>
      <w:tblPr>
        <w:tblStyle w:val="6"/>
        <w:tblW w:w="14346" w:type="dxa"/>
        <w:tblInd w:w="0" w:type="dxa"/>
        <w:shd w:val="clear" w:color="auto" w:fill="auto"/>
        <w:tblLayout w:type="fixed"/>
        <w:tblCellMar>
          <w:top w:w="0" w:type="dxa"/>
          <w:left w:w="0" w:type="dxa"/>
          <w:bottom w:w="0" w:type="dxa"/>
          <w:right w:w="0" w:type="dxa"/>
        </w:tblCellMar>
      </w:tblPr>
      <w:tblGrid>
        <w:gridCol w:w="523"/>
        <w:gridCol w:w="11603"/>
        <w:gridCol w:w="645"/>
        <w:gridCol w:w="780"/>
        <w:gridCol w:w="795"/>
      </w:tblGrid>
      <w:tr>
        <w:tblPrEx>
          <w:shd w:val="clear" w:color="auto" w:fill="auto"/>
          <w:tblCellMar>
            <w:top w:w="0" w:type="dxa"/>
            <w:left w:w="0" w:type="dxa"/>
            <w:bottom w:w="0" w:type="dxa"/>
            <w:right w:w="0"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1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良好行为加分项内容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加分  限额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得分</w:t>
            </w:r>
          </w:p>
        </w:tc>
        <w:tc>
          <w:tcPr>
            <w:tcW w:w="7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合计加分  限额</w:t>
            </w: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企业在造价咨询活动中获得市级及以上人民政府的表彰、表扬或奖励，每获国家级加2分/项，每获省（直辖市）级加1.5分/项，每获市级加1分/项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造价咨询活动中获得市级以上建设行政主管部门、行业管理机构或行业协会的表彰、表扬或奖励,每获国家级加1分/项，每获省（直辖市）级加0.8分/项，每获市级加0.5分/项；获得市级以上审计、财政、发改等政府部门的表彰或奖励,获省级及以上的加0.5分/项，获市级的加0.3分/项，获得委托方奖励的加0.5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企业有中价协资深会员0.5分/人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企业有造价行业专家，如中价协专家委员会成员，省造价协会专家委员会成员，省建设厅、财政局评标专家等。中价协0.5分/人，省（直辖市）级0.3分/人，市级0.2分/人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企业在参加造价行业组织的专业技能类竞赛中获奖，每获国家级加2分/项，每获省（直辖市）级加1.5分/项，每获市级加1分/项；员工获奖按相应级别减半加分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企业在参加造价行业协会组织的文体活动竞赛等各类活动中获奖，每获国家级加1分/项，每获省（直辖市）级加0.8分/项，每获市级加0.5分/项,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发表与工程造价相关论文、案例，国家级（国际）刊物加1分/项，省（直辖市）级刊物加0.8分/项，市级刊物加0.5分/项                                                                                 获得行业优秀论文、典型案例的加0.5分/项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参与市级以上行业管理机构组织的计价依据的修编（或补充定额的编制）、教材修编、试卷命题等，加1分/人；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参与造价相关的课题研究及规范、标准编制，系主编的，住建部标准定额司或中价协加1分/人，省（直辖市）级加0.8分/人，市级0.5分/人，系参编的，按主编标准减半加分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良好行为加分项内容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加分  限额</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得分</w:t>
            </w:r>
          </w:p>
        </w:tc>
        <w:tc>
          <w:tcPr>
            <w:tcW w:w="795"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合计加分  限额</w:t>
            </w: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1.10 </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参加造价行业组织的检查、评审、阅卷等，加0.5分/人次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接上</w:t>
            </w: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1.11</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提供在校学生、应届大学生等实习、实训机会的加0.1分/人；与高等院校或职业学院达成校企联合实训基地的加1分。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1.12</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参与救灾、捐款、物资捐赠、助教、助残、扶贫等慈善公益活动，加0.5分/次；                                                      </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1.13</w:t>
            </w:r>
          </w:p>
        </w:tc>
        <w:tc>
          <w:tcPr>
            <w:tcW w:w="1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企业投保职业保险的加2分</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c>
          <w:tcPr>
            <w:tcW w:w="7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8"/>
                <w:szCs w:val="18"/>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注：1、企业填报相关信息，准备相关材料备查，接受社会监督；</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2、同一项良好行为不得重复计分。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b/>
          <w:bCs/>
          <w:sz w:val="28"/>
          <w:szCs w:val="28"/>
          <w:lang w:val="en-US" w:eastAsia="zh-CN"/>
        </w:rPr>
      </w:pPr>
      <w:r>
        <w:rPr>
          <w:rFonts w:hint="default" w:asciiTheme="minorEastAsia" w:hAnsiTheme="minorEastAsia" w:eastAsiaTheme="minorEastAsia" w:cstheme="minorEastAsia"/>
          <w:b/>
          <w:bCs/>
          <w:sz w:val="28"/>
          <w:szCs w:val="28"/>
          <w:lang w:val="en-US" w:eastAsia="zh-CN"/>
        </w:rPr>
        <w:t>附</w:t>
      </w:r>
      <w:r>
        <w:rPr>
          <w:rFonts w:hint="eastAsia" w:asciiTheme="minorEastAsia" w:hAnsiTheme="minorEastAsia" w:eastAsiaTheme="minorEastAsia" w:cstheme="minorEastAsia"/>
          <w:b/>
          <w:bCs/>
          <w:sz w:val="28"/>
          <w:szCs w:val="28"/>
          <w:lang w:val="en-US" w:eastAsia="zh-CN"/>
        </w:rPr>
        <w:t>表</w:t>
      </w:r>
      <w:r>
        <w:rPr>
          <w:rFonts w:hint="default" w:asciiTheme="minorEastAsia" w:hAnsiTheme="minorEastAsia" w:eastAsiaTheme="minorEastAsia" w:cstheme="minorEastAsia"/>
          <w:b/>
          <w:bCs/>
          <w:sz w:val="28"/>
          <w:szCs w:val="28"/>
          <w:lang w:val="en-US" w:eastAsia="zh-CN"/>
        </w:rPr>
        <w:t xml:space="preserve">4：                      </w:t>
      </w:r>
      <w:r>
        <w:rPr>
          <w:rFonts w:hint="eastAsia" w:asciiTheme="minorEastAsia" w:hAnsiTheme="minorEastAsia" w:cstheme="minorEastAsia"/>
          <w:b/>
          <w:bCs/>
          <w:sz w:val="28"/>
          <w:szCs w:val="28"/>
          <w:lang w:val="en-US" w:eastAsia="zh-CN"/>
        </w:rPr>
        <w:t xml:space="preserve">   </w:t>
      </w:r>
      <w:r>
        <w:rPr>
          <w:rFonts w:hint="default" w:asciiTheme="minorEastAsia" w:hAnsiTheme="minorEastAsia" w:eastAsiaTheme="minorEastAsia" w:cstheme="minorEastAsia"/>
          <w:b/>
          <w:bCs/>
          <w:sz w:val="28"/>
          <w:szCs w:val="28"/>
          <w:lang w:val="en-US" w:eastAsia="zh-CN"/>
        </w:rPr>
        <w:t>工程造价咨询企业不良行为扣分表</w:t>
      </w:r>
    </w:p>
    <w:tbl>
      <w:tblPr>
        <w:tblStyle w:val="6"/>
        <w:tblW w:w="14023" w:type="dxa"/>
        <w:tblInd w:w="0" w:type="dxa"/>
        <w:shd w:val="clear" w:color="auto" w:fill="auto"/>
        <w:tblLayout w:type="fixed"/>
        <w:tblCellMar>
          <w:top w:w="0" w:type="dxa"/>
          <w:left w:w="0" w:type="dxa"/>
          <w:bottom w:w="0" w:type="dxa"/>
          <w:right w:w="0" w:type="dxa"/>
        </w:tblCellMar>
      </w:tblPr>
      <w:tblGrid>
        <w:gridCol w:w="688"/>
        <w:gridCol w:w="9030"/>
        <w:gridCol w:w="2205"/>
        <w:gridCol w:w="1080"/>
        <w:gridCol w:w="1020"/>
      </w:tblGrid>
      <w:tr>
        <w:tblPrEx>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9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不良行为扣分项内容</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每次扣分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r>
      <w:tr>
        <w:tblPrEx>
          <w:shd w:val="clear" w:color="auto" w:fill="auto"/>
          <w:tblCellMar>
            <w:top w:w="0" w:type="dxa"/>
            <w:left w:w="0" w:type="dxa"/>
            <w:bottom w:w="0" w:type="dxa"/>
            <w:right w:w="0" w:type="dxa"/>
          </w:tblCellMar>
        </w:tblPrEx>
        <w:trPr>
          <w:trHeight w:val="2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8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企业法定代表人、技术负责人因本企业职务行为受到刑事处罚或严重的行政处罚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1、企业如发生此类不良行为的，信用级别直接降为最低级；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2、应说明不良行为的具体内容，相应文书、文件的名称或文号等。</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企业或企业的法定代表人、技术负责人受到行业协会公开谴责惩戒</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企业出借、借用资质等级证书进行投标或承接造价咨询业务</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90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企业提供虚假评价材料或拒绝接受造价管理机构、造价协会监督检查，情节严重，经查属实</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4"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有法律、法规、规章及行业规定的其他严重违法、违规行为</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II</w:t>
            </w:r>
          </w:p>
        </w:tc>
        <w:tc>
          <w:tcPr>
            <w:tcW w:w="22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注册在本企业的职业人员因本企业职务行为受到严重刑事处罚或行政处罚</w:t>
            </w:r>
          </w:p>
        </w:tc>
        <w:tc>
          <w:tcPr>
            <w:tcW w:w="22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1、企业如发生此类不良行为的，按相应条目进行扣分，分值可累计；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2、不良行为信息根据政府主管部门、造价行业管理机构、造价行业协会记录或经查实的举报、投诉等；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3、应说明不良行为的具体内容，相应文书、文件的名称或文号等。</w:t>
            </w: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由于咨询单位行为过错给委托人造成重大经济损失</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在工程造价咨询业务招投标活动中围标、串标，或事先与业主约定设置明显排斥其它潜在投标人的条款</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分公司以自己名义承揽工程造价咨询业务、订立工程造价咨询合同、出具工程造价成果文件；超越资质等级或范围承接业务；转包承接的工程造价咨询业务；与当事人签订的工程造价咨询合同存在欺骗性条款</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9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被县级及以上建设行政主管部门、相关行政主管部门、行业管理机构、行业协会处以通报、责令整改或其它处罚</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采用弄虚作假等不正当手段承接造价咨询业务；以给予回扣、贿赂等不正当方式承接业务</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违背客观、公正和诚信原则出具工程造价咨询成果报告</w:t>
            </w:r>
          </w:p>
        </w:tc>
        <w:tc>
          <w:tcPr>
            <w:tcW w:w="22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08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序号</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不良行为扣分项内容</w:t>
            </w:r>
          </w:p>
        </w:tc>
        <w:tc>
          <w:tcPr>
            <w:tcW w:w="220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说明</w:t>
            </w:r>
          </w:p>
        </w:tc>
        <w:tc>
          <w:tcPr>
            <w:tcW w:w="108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每次扣分</w:t>
            </w:r>
          </w:p>
        </w:tc>
        <w:tc>
          <w:tcPr>
            <w:tcW w:w="102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扣分</w:t>
            </w:r>
          </w:p>
        </w:tc>
      </w:tr>
      <w:tr>
        <w:tblPrEx>
          <w:tblCellMar>
            <w:top w:w="0" w:type="dxa"/>
            <w:left w:w="0" w:type="dxa"/>
            <w:bottom w:w="0" w:type="dxa"/>
            <w:right w:w="0" w:type="dxa"/>
          </w:tblCellMar>
        </w:tblPrEx>
        <w:trPr>
          <w:trHeight w:val="64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泄露、窃取商业或技术秘密</w:t>
            </w:r>
          </w:p>
        </w:tc>
        <w:tc>
          <w:tcPr>
            <w:tcW w:w="2205" w:type="dxa"/>
            <w:vMerge w:val="restart"/>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接上</w:t>
            </w:r>
          </w:p>
        </w:tc>
        <w:tc>
          <w:tcPr>
            <w:tcW w:w="108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3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收取合同约定以外的不正当费用</w:t>
            </w:r>
          </w:p>
        </w:tc>
        <w:tc>
          <w:tcPr>
            <w:tcW w:w="2205"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企业非法用工被投诉查实；企业员工离职后，不给予及时办理劳动合同解除、证书印章变更、人事档案调离的；企业拖欠员工工资和社保；企业职业人员存在挂靠行为</w:t>
            </w:r>
          </w:p>
        </w:tc>
        <w:tc>
          <w:tcPr>
            <w:tcW w:w="2205"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38"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 </w:t>
            </w:r>
          </w:p>
        </w:tc>
        <w:tc>
          <w:tcPr>
            <w:tcW w:w="90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企业在“信用中国”等权威信用机构有不良信用记录</w:t>
            </w:r>
          </w:p>
        </w:tc>
        <w:tc>
          <w:tcPr>
            <w:tcW w:w="220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注：1、同一事项被不同部门处罚或通报，按最高扣分计扣一次。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default" w:asciiTheme="minorEastAsia" w:hAnsiTheme="minorEastAsia" w:eastAsiaTheme="minorEastAsia" w:cstheme="minorEastAsia"/>
          <w:sz w:val="21"/>
          <w:szCs w:val="21"/>
          <w:lang w:val="en-US" w:eastAsia="zh-CN"/>
        </w:rPr>
        <w:t>本表“不良行为”内容和扣分，适用企业（法人），也适用企业的分支机构</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lang w:val="en-US" w:eastAsia="zh-CN"/>
        </w:rPr>
      </w:pP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sz w:val="24"/>
          <w:szCs w:val="24"/>
          <w:lang w:val="en-US" w:eastAsia="zh-CN"/>
        </w:rPr>
      </w:pPr>
      <w:r>
        <w:rPr>
          <w:rFonts w:hint="eastAsia"/>
          <w:sz w:val="24"/>
          <w:szCs w:val="24"/>
          <w:lang w:val="en-US" w:eastAsia="zh-CN"/>
        </w:rPr>
        <w:t>附件2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省级自定义内容申报材料（电子版）清单</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135"/>
        <w:gridCol w:w="4890"/>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评价指标</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说明</w:t>
            </w: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资料清单（电子版）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社会评价，客户对企业的评价</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选取三个1000万元以上项目（尽量满足两个国有资金投资项目，两个结算审核项目）进行客户评价调查，项目类型包括土建、安装、装饰、市政等至少两种，咨询类型包括结算审核、工程量清单及招标控制价编制等。如全部项目都不满足上述条件，由企业自行调整并作说明。</w:t>
            </w:r>
          </w:p>
        </w:tc>
        <w:tc>
          <w:tcPr>
            <w:tcW w:w="53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1.项目委托书或合同扫描件；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2.项目咨询方案或作业计划书扫描件；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3.造价成果文件（含三级审核意见）扫描件；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4.委托单位意见表扫描件。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（每个项目建立以项目名称命名的文件夹，并设立资料清单目录。）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造价咨询业务流程管理</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同上。</w:t>
            </w:r>
          </w:p>
        </w:tc>
        <w:tc>
          <w:tcPr>
            <w:tcW w:w="53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造价咨询业务成果质量情况</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i w:val="0"/>
                <w:color w:val="auto"/>
                <w:kern w:val="0"/>
                <w:sz w:val="24"/>
                <w:szCs w:val="24"/>
                <w:u w:val="none"/>
                <w:lang w:val="en-US" w:eastAsia="zh-CN" w:bidi="ar"/>
              </w:rPr>
              <w:t>同上。</w:t>
            </w:r>
          </w:p>
        </w:tc>
        <w:tc>
          <w:tcPr>
            <w:tcW w:w="53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4</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企业及时缴纳各市协会会费</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收据、付款证明等扫描件或电子图片。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5</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省协会自律公约签约及执行情况</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sz w:val="24"/>
                <w:szCs w:val="24"/>
                <w:u w:val="none"/>
                <w:lang w:val="en-US" w:eastAsia="zh-CN"/>
              </w:rPr>
              <w:t>签约、违约情况从省协会诚信自律系统中核实。</w:t>
            </w: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自律公约签约书（企业、市协会、省协会三方盖章）扫描件。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w:t>
            </w:r>
          </w:p>
        </w:tc>
        <w:tc>
          <w:tcPr>
            <w:tcW w:w="3135"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参加省市协会组织的技能竞赛、课题研究、文体活动等</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省市协会会刊、网站、公众号</w:t>
            </w:r>
            <w:r>
              <w:rPr>
                <w:rFonts w:hint="eastAsia" w:ascii="宋体" w:hAnsi="宋体" w:eastAsia="宋体" w:cs="宋体"/>
                <w:color w:val="auto"/>
                <w:sz w:val="24"/>
                <w:szCs w:val="24"/>
                <w:vertAlign w:val="baseline"/>
                <w:lang w:val="en-US" w:eastAsia="zh-CN"/>
              </w:rPr>
              <w:t>上相关的活动报道等的扫描件或电子图片。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7</w:t>
            </w:r>
          </w:p>
        </w:tc>
        <w:tc>
          <w:tcPr>
            <w:tcW w:w="3135"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在省市协会会刊、网站、公众号上发表相关的论文、案例、通讯稿等</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省市协会会刊、网站、公众号上发表的相关通知、文档等的</w:t>
            </w:r>
            <w:r>
              <w:rPr>
                <w:rFonts w:hint="eastAsia" w:ascii="宋体" w:hAnsi="宋体" w:eastAsia="宋体" w:cs="宋体"/>
                <w:color w:val="auto"/>
                <w:sz w:val="24"/>
                <w:szCs w:val="24"/>
                <w:vertAlign w:val="baseline"/>
                <w:lang w:val="en-US" w:eastAsia="zh-CN"/>
              </w:rPr>
              <w:t>扫描件或电子图片。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8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8</w:t>
            </w:r>
          </w:p>
        </w:tc>
        <w:tc>
          <w:tcPr>
            <w:tcW w:w="3135" w:type="dxa"/>
            <w:vAlign w:val="center"/>
          </w:tcPr>
          <w:p>
            <w:pPr>
              <w:keepNext w:val="0"/>
              <w:keepLines w:val="0"/>
              <w:widowControl/>
              <w:suppressLineNumbers w:val="0"/>
              <w:ind w:left="0" w:leftChars="0" w:right="0" w:rightChars="0"/>
              <w:jc w:val="both"/>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省市协会公开表彰企业或企业从业人员</w:t>
            </w:r>
          </w:p>
        </w:tc>
        <w:tc>
          <w:tcPr>
            <w:tcW w:w="48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p>
        </w:tc>
        <w:tc>
          <w:tcPr>
            <w:tcW w:w="53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i w:val="0"/>
                <w:color w:val="auto"/>
                <w:kern w:val="0"/>
                <w:sz w:val="24"/>
                <w:szCs w:val="24"/>
                <w:u w:val="none"/>
                <w:lang w:val="en-US" w:eastAsia="zh-CN" w:bidi="ar"/>
              </w:rPr>
              <w:t>省市协会会刊、网站、公众号上发表的相关表彰通知等的</w:t>
            </w:r>
            <w:r>
              <w:rPr>
                <w:rFonts w:hint="eastAsia" w:ascii="宋体" w:hAnsi="宋体" w:eastAsia="宋体" w:cs="宋体"/>
                <w:color w:val="auto"/>
                <w:sz w:val="24"/>
                <w:szCs w:val="24"/>
                <w:vertAlign w:val="baseline"/>
                <w:lang w:val="en-US" w:eastAsia="zh-CN"/>
              </w:rPr>
              <w:t>扫描件或电子图片。</w:t>
            </w:r>
          </w:p>
        </w:tc>
      </w:tr>
    </w:tbl>
    <w:p>
      <w:pPr>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sz w:val="24"/>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宋体" w:hAnsi="宋体" w:eastAsia="微软雅黑" w:cs="宋体"/>
          <w:kern w:val="2"/>
          <w:sz w:val="24"/>
          <w:szCs w:val="24"/>
          <w:lang w:val="en-US" w:eastAsia="zh-CN" w:bidi="ar-S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auto"/>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4CB23"/>
    <w:multiLevelType w:val="singleLevel"/>
    <w:tmpl w:val="B704CB23"/>
    <w:lvl w:ilvl="0" w:tentative="0">
      <w:start w:val="1"/>
      <w:numFmt w:val="decimal"/>
      <w:suff w:val="nothing"/>
      <w:lvlText w:val="%1、"/>
      <w:lvlJc w:val="left"/>
    </w:lvl>
  </w:abstractNum>
  <w:abstractNum w:abstractNumId="1">
    <w:nsid w:val="F1F04A47"/>
    <w:multiLevelType w:val="singleLevel"/>
    <w:tmpl w:val="F1F04A47"/>
    <w:lvl w:ilvl="0" w:tentative="0">
      <w:start w:val="1"/>
      <w:numFmt w:val="decimal"/>
      <w:lvlText w:val="%1."/>
      <w:lvlJc w:val="left"/>
      <w:pPr>
        <w:tabs>
          <w:tab w:val="left" w:pos="312"/>
        </w:tabs>
      </w:pPr>
    </w:lvl>
  </w:abstractNum>
  <w:abstractNum w:abstractNumId="2">
    <w:nsid w:val="FF250D9E"/>
    <w:multiLevelType w:val="singleLevel"/>
    <w:tmpl w:val="FF250D9E"/>
    <w:lvl w:ilvl="0" w:tentative="0">
      <w:start w:val="1"/>
      <w:numFmt w:val="decimal"/>
      <w:suff w:val="nothing"/>
      <w:lvlText w:val="%1、"/>
      <w:lvlJc w:val="left"/>
    </w:lvl>
  </w:abstractNum>
  <w:abstractNum w:abstractNumId="3">
    <w:nsid w:val="062873F9"/>
    <w:multiLevelType w:val="singleLevel"/>
    <w:tmpl w:val="062873F9"/>
    <w:lvl w:ilvl="0" w:tentative="0">
      <w:start w:val="2"/>
      <w:numFmt w:val="decimal"/>
      <w:suff w:val="nothing"/>
      <w:lvlText w:val="%1、"/>
      <w:lvlJc w:val="left"/>
      <w:pPr>
        <w:ind w:left="525" w:leftChars="0" w:firstLine="0" w:firstLineChars="0"/>
      </w:pPr>
    </w:lvl>
  </w:abstractNum>
  <w:abstractNum w:abstractNumId="4">
    <w:nsid w:val="535CBB1D"/>
    <w:multiLevelType w:val="singleLevel"/>
    <w:tmpl w:val="535CBB1D"/>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82AEB"/>
    <w:rsid w:val="0DF14310"/>
    <w:rsid w:val="0E2A7AA1"/>
    <w:rsid w:val="0E553CFC"/>
    <w:rsid w:val="1B131361"/>
    <w:rsid w:val="1C761109"/>
    <w:rsid w:val="2B854794"/>
    <w:rsid w:val="2BC0181F"/>
    <w:rsid w:val="2C895CB8"/>
    <w:rsid w:val="37DC2846"/>
    <w:rsid w:val="38F9053A"/>
    <w:rsid w:val="3AFD1447"/>
    <w:rsid w:val="3B714CCE"/>
    <w:rsid w:val="46152098"/>
    <w:rsid w:val="49E52076"/>
    <w:rsid w:val="4FEB4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63"/>
      <w:ind w:left="141" w:right="219"/>
      <w:outlineLvl w:val="2"/>
    </w:pPr>
    <w:rPr>
      <w:rFonts w:ascii="宋体" w:hAnsi="宋体" w:eastAsia="宋体" w:cs="宋体"/>
      <w:b/>
      <w:bCs/>
      <w:sz w:val="36"/>
      <w:szCs w:val="36"/>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line="460" w:lineRule="atLeast"/>
      <w:ind w:firstLine="420" w:firstLineChars="200"/>
    </w:pPr>
    <w:rPr>
      <w:rFonts w:ascii="Calibri" w:hAnsi="Calibri" w:eastAsia="宋体" w:cs="Times New Roman"/>
      <w:bCs/>
      <w:kern w:val="0"/>
      <w:sz w:val="24"/>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Body text|1"/>
    <w:basedOn w:val="1"/>
    <w:qFormat/>
    <w:uiPriority w:val="0"/>
    <w:pPr>
      <w:widowControl w:val="0"/>
      <w:shd w:val="clear" w:color="auto" w:fill="auto"/>
      <w:spacing w:line="346" w:lineRule="auto"/>
      <w:ind w:firstLine="400"/>
    </w:pPr>
    <w:rPr>
      <w:rFonts w:ascii="MingLiU" w:hAnsi="MingLiU" w:eastAsia="MingLiU" w:cs="MingLiU"/>
      <w:sz w:val="20"/>
      <w:szCs w:val="20"/>
      <w:u w:val="none"/>
      <w:shd w:val="clear" w:color="auto" w:fill="auto"/>
      <w:lang w:val="zh-TW" w:eastAsia="zh-TW" w:bidi="zh-TW"/>
    </w:rPr>
  </w:style>
  <w:style w:type="paragraph" w:customStyle="1" w:styleId="11">
    <w:name w:val="正文（无缩进）"/>
    <w:basedOn w:val="1"/>
    <w:qFormat/>
    <w:uiPriority w:val="99"/>
    <w:pPr>
      <w:spacing w:line="460" w:lineRule="atLeast"/>
      <w:ind w:firstLine="480" w:firstLineChars="200"/>
    </w:pPr>
    <w:rPr>
      <w:rFonts w:ascii="Calibri" w:hAnsi="Calibri" w:eastAsia="宋体" w:cs="Times New Roman"/>
      <w:bCs/>
      <w:kern w:val="0"/>
      <w:sz w:val="24"/>
      <w:szCs w:val="21"/>
    </w:rPr>
  </w:style>
  <w:style w:type="character" w:customStyle="1" w:styleId="12">
    <w:name w:val="font51"/>
    <w:basedOn w:val="8"/>
    <w:qFormat/>
    <w:uiPriority w:val="0"/>
    <w:rPr>
      <w:rFonts w:hint="eastAsia" w:ascii="宋体" w:hAnsi="宋体" w:eastAsia="宋体" w:cs="宋体"/>
      <w:color w:val="000000"/>
      <w:sz w:val="20"/>
      <w:szCs w:val="20"/>
      <w:u w:val="none"/>
    </w:rPr>
  </w:style>
  <w:style w:type="character" w:customStyle="1" w:styleId="13">
    <w:name w:val="font61"/>
    <w:basedOn w:val="8"/>
    <w:qFormat/>
    <w:uiPriority w:val="0"/>
    <w:rPr>
      <w:rFonts w:hint="default" w:ascii="Arial Narrow" w:hAnsi="Arial Narrow" w:eastAsia="Arial Narrow" w:cs="Arial Narrow"/>
      <w:color w:val="000000"/>
      <w:sz w:val="20"/>
      <w:szCs w:val="20"/>
      <w:u w:val="none"/>
    </w:rPr>
  </w:style>
  <w:style w:type="character" w:customStyle="1" w:styleId="14">
    <w:name w:val="font81"/>
    <w:basedOn w:val="8"/>
    <w:qFormat/>
    <w:uiPriority w:val="0"/>
    <w:rPr>
      <w:rFonts w:hint="default" w:ascii="Arial Narrow" w:hAnsi="Arial Narrow" w:eastAsia="Arial Narrow" w:cs="Arial Narrow"/>
      <w:color w:val="000000"/>
      <w:sz w:val="20"/>
      <w:szCs w:val="20"/>
      <w:u w:val="none"/>
      <w:vertAlign w:val="subscript"/>
    </w:rPr>
  </w:style>
  <w:style w:type="character" w:customStyle="1" w:styleId="15">
    <w:name w:val="font21"/>
    <w:basedOn w:val="8"/>
    <w:qFormat/>
    <w:uiPriority w:val="0"/>
    <w:rPr>
      <w:rFonts w:hint="eastAsia" w:ascii="宋体" w:hAnsi="宋体" w:eastAsia="宋体" w:cs="宋体"/>
      <w:color w:val="000000"/>
      <w:sz w:val="20"/>
      <w:szCs w:val="20"/>
      <w:u w:val="none"/>
      <w:vertAlign w:val="subscript"/>
    </w:rPr>
  </w:style>
  <w:style w:type="character" w:customStyle="1" w:styleId="16">
    <w:name w:val="font11"/>
    <w:basedOn w:val="8"/>
    <w:qFormat/>
    <w:uiPriority w:val="0"/>
    <w:rPr>
      <w:rFonts w:hint="eastAsia" w:ascii="宋体" w:hAnsi="宋体" w:eastAsia="宋体" w:cs="宋体"/>
      <w:color w:val="000000"/>
      <w:sz w:val="20"/>
      <w:szCs w:val="20"/>
      <w:u w:val="none"/>
    </w:rPr>
  </w:style>
  <w:style w:type="character" w:customStyle="1" w:styleId="17">
    <w:name w:val="font01"/>
    <w:basedOn w:val="8"/>
    <w:qFormat/>
    <w:uiPriority w:val="0"/>
    <w:rPr>
      <w:rFonts w:ascii="等线 Light" w:hAnsi="等线 Light" w:eastAsia="等线 Light" w:cs="等线 Light"/>
      <w:color w:val="000000"/>
      <w:sz w:val="20"/>
      <w:szCs w:val="20"/>
      <w:u w:val="none"/>
    </w:rPr>
  </w:style>
  <w:style w:type="character" w:customStyle="1" w:styleId="18">
    <w:name w:val="font41"/>
    <w:basedOn w:val="8"/>
    <w:qFormat/>
    <w:uiPriority w:val="0"/>
    <w:rPr>
      <w:rFonts w:ascii="等线 Light" w:hAnsi="等线 Light" w:eastAsia="等线 Light" w:cs="等线 Light"/>
      <w:color w:val="000000"/>
      <w:sz w:val="20"/>
      <w:szCs w:val="20"/>
      <w:u w:val="none"/>
    </w:rPr>
  </w:style>
  <w:style w:type="character" w:customStyle="1" w:styleId="19">
    <w:name w:val="font7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2020-05-22T06:22:00Z</dcterms:created>
  <dc:creator>DELL</dc:creator>
  <cp:lastModifiedBy>是小郑呀</cp:lastModifiedBy>
  <dcterms:modified xsi:type="dcterms:W3CDTF">2021-10-29T01:13:30Z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F33E2B848B0349A48D479106E800F1BD</vt:lpwstr>
  </property>
</Properties>
</file>